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37376" w14:textId="77777777" w:rsidR="00CE5634" w:rsidRDefault="00E1326F">
      <w:pPr>
        <w:keepNext/>
        <w:keepLines/>
        <w:spacing w:after="0" w:line="240" w:lineRule="auto"/>
        <w:rPr>
          <w:b/>
          <w:i/>
          <w:color w:val="E36C0A"/>
          <w:sz w:val="26"/>
          <w:szCs w:val="26"/>
        </w:rPr>
      </w:pPr>
      <w:bookmarkStart w:id="0" w:name="_heading=h.gjdgxs" w:colFirst="0" w:colLast="0"/>
      <w:bookmarkEnd w:id="0"/>
      <w:r>
        <w:rPr>
          <w:b/>
          <w:i/>
          <w:color w:val="E36C0A"/>
          <w:sz w:val="26"/>
          <w:szCs w:val="26"/>
        </w:rPr>
        <w:t>Candidate: e-Portfolio Implementation Evidence Plan Form</w:t>
      </w:r>
    </w:p>
    <w:p w14:paraId="11837377" w14:textId="77777777" w:rsidR="00CE5634" w:rsidRDefault="00CE5634">
      <w:pPr>
        <w:keepNext/>
        <w:keepLines/>
        <w:spacing w:after="0" w:line="240" w:lineRule="auto"/>
        <w:rPr>
          <w:b/>
          <w:i/>
          <w:color w:val="4472C4"/>
          <w:sz w:val="18"/>
          <w:szCs w:val="18"/>
        </w:rPr>
      </w:pPr>
    </w:p>
    <w:tbl>
      <w:tblPr>
        <w:tblStyle w:val="a"/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90"/>
        <w:gridCol w:w="1224"/>
        <w:gridCol w:w="2574"/>
      </w:tblGrid>
      <w:tr w:rsidR="00CE5634" w14:paraId="1183737D" w14:textId="77777777">
        <w:tc>
          <w:tcPr>
            <w:tcW w:w="1008" w:type="dxa"/>
            <w:shd w:val="clear" w:color="auto" w:fill="F2F2F2"/>
          </w:tcPr>
          <w:p w14:paraId="11837378" w14:textId="77777777" w:rsidR="00CE5634" w:rsidRDefault="00E1326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5490" w:type="dxa"/>
          </w:tcPr>
          <w:p w14:paraId="11837379" w14:textId="77777777" w:rsidR="00CE5634" w:rsidRDefault="00CE5634">
            <w:pPr>
              <w:jc w:val="center"/>
              <w:rPr>
                <w:rFonts w:ascii="Calibri" w:eastAsia="Calibri" w:hAnsi="Calibri" w:cs="Calibri"/>
              </w:rPr>
            </w:pPr>
          </w:p>
          <w:p w14:paraId="1183737A" w14:textId="77777777" w:rsidR="00CE5634" w:rsidRDefault="00CE563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shd w:val="clear" w:color="auto" w:fill="F2F2F2"/>
          </w:tcPr>
          <w:p w14:paraId="1183737B" w14:textId="77777777" w:rsidR="00CE5634" w:rsidRDefault="00E1326F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2574" w:type="dxa"/>
          </w:tcPr>
          <w:p w14:paraId="1183737C" w14:textId="77777777" w:rsidR="00CE5634" w:rsidRDefault="00CE5634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1183737E" w14:textId="77777777" w:rsidR="00CE5634" w:rsidRDefault="00CE5634">
      <w:pPr>
        <w:spacing w:after="0" w:line="240" w:lineRule="auto"/>
        <w:rPr>
          <w:sz w:val="20"/>
          <w:szCs w:val="20"/>
        </w:rPr>
      </w:pPr>
    </w:p>
    <w:p w14:paraId="1183737F" w14:textId="77777777" w:rsidR="00CE5634" w:rsidRDefault="00E13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Discuss the elements observed during each three-way meeting.</w:t>
      </w:r>
    </w:p>
    <w:p w14:paraId="11837380" w14:textId="77777777" w:rsidR="00CE5634" w:rsidRDefault="00E13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Portfolio must be completed by the Third 3-way meeting </w:t>
      </w:r>
    </w:p>
    <w:p w14:paraId="11837381" w14:textId="77777777" w:rsidR="00CE5634" w:rsidRDefault="00E13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Two Pieces of Evidence are required for each </w:t>
      </w:r>
      <w:r>
        <w:rPr>
          <w:color w:val="000000"/>
        </w:rPr>
        <w:t>element</w:t>
      </w:r>
    </w:p>
    <w:p w14:paraId="11837382" w14:textId="77777777" w:rsidR="00CE5634" w:rsidRDefault="00E1326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60"/>
        </w:tabs>
        <w:spacing w:after="6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 evidence must be from current school year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5220"/>
        <w:gridCol w:w="1795"/>
      </w:tblGrid>
      <w:tr w:rsidR="00CE5634" w14:paraId="11837386" w14:textId="77777777">
        <w:tc>
          <w:tcPr>
            <w:tcW w:w="3055" w:type="dxa"/>
            <w:shd w:val="clear" w:color="auto" w:fill="D9D9D9"/>
            <w:vAlign w:val="center"/>
          </w:tcPr>
          <w:p w14:paraId="11837383" w14:textId="77777777" w:rsidR="00CE5634" w:rsidRDefault="00E1326F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Element</w:t>
            </w:r>
          </w:p>
        </w:tc>
        <w:tc>
          <w:tcPr>
            <w:tcW w:w="5220" w:type="dxa"/>
            <w:shd w:val="clear" w:color="auto" w:fill="D9D9D9"/>
            <w:vAlign w:val="center"/>
          </w:tcPr>
          <w:p w14:paraId="11837384" w14:textId="77777777" w:rsidR="00CE5634" w:rsidRDefault="00E132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Artifacts that can be used as Evidence </w:t>
            </w:r>
          </w:p>
        </w:tc>
        <w:tc>
          <w:tcPr>
            <w:tcW w:w="1795" w:type="dxa"/>
            <w:shd w:val="clear" w:color="auto" w:fill="D9D9D9"/>
            <w:vAlign w:val="center"/>
          </w:tcPr>
          <w:p w14:paraId="11837385" w14:textId="77777777" w:rsidR="00CE5634" w:rsidRDefault="00E1326F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Uploaded to Portfolio</w:t>
            </w:r>
          </w:p>
        </w:tc>
      </w:tr>
      <w:tr w:rsidR="00CE5634" w14:paraId="11837388" w14:textId="77777777">
        <w:trPr>
          <w:trHeight w:val="359"/>
        </w:trPr>
        <w:tc>
          <w:tcPr>
            <w:tcW w:w="10070" w:type="dxa"/>
            <w:gridSpan w:val="3"/>
            <w:shd w:val="clear" w:color="auto" w:fill="7030A0"/>
            <w:vAlign w:val="center"/>
          </w:tcPr>
          <w:p w14:paraId="11837387" w14:textId="77777777" w:rsidR="00CE5634" w:rsidRDefault="00E1326F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 xml:space="preserve">Standard I – Curriculum Planning and Assessment </w:t>
            </w:r>
          </w:p>
        </w:tc>
      </w:tr>
      <w:tr w:rsidR="00CE5634" w14:paraId="1183738E" w14:textId="77777777">
        <w:trPr>
          <w:trHeight w:val="576"/>
        </w:trPr>
        <w:tc>
          <w:tcPr>
            <w:tcW w:w="3055" w:type="dxa"/>
            <w:vAlign w:val="center"/>
          </w:tcPr>
          <w:p w14:paraId="11837389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1.A.3</w:t>
            </w:r>
          </w:p>
          <w:p w14:paraId="1183738A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Rigorous Standard-Based Unit Design</w:t>
            </w:r>
          </w:p>
          <w:p w14:paraId="1183738B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Designs units of instruction with measurable outcomes and challenging tasks requiring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higher-order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thinking skills that enable students to learn the knowledge and skills defined in state standards/local curricula.</w:t>
            </w:r>
          </w:p>
        </w:tc>
        <w:tc>
          <w:tcPr>
            <w:tcW w:w="5220" w:type="dxa"/>
            <w:vAlign w:val="center"/>
          </w:tcPr>
          <w:p w14:paraId="1183738C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8D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94" w14:textId="77777777">
        <w:trPr>
          <w:trHeight w:val="576"/>
        </w:trPr>
        <w:tc>
          <w:tcPr>
            <w:tcW w:w="3055" w:type="dxa"/>
            <w:vAlign w:val="center"/>
          </w:tcPr>
          <w:p w14:paraId="1183738F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1.A.4</w:t>
            </w:r>
          </w:p>
          <w:p w14:paraId="11837390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Well Structured Lessons</w:t>
            </w:r>
          </w:p>
          <w:p w14:paraId="11837391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Develops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well-structured lessons with challenging, measurable objectives and appropriate student engagement strategies, pacing, sequence, activities, materials, resources, technologies, and grouping.</w:t>
            </w:r>
          </w:p>
        </w:tc>
        <w:tc>
          <w:tcPr>
            <w:tcW w:w="5220" w:type="dxa"/>
            <w:vAlign w:val="center"/>
          </w:tcPr>
          <w:p w14:paraId="11837392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93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9A" w14:textId="77777777">
        <w:trPr>
          <w:trHeight w:val="576"/>
        </w:trPr>
        <w:tc>
          <w:tcPr>
            <w:tcW w:w="3055" w:type="dxa"/>
            <w:vAlign w:val="center"/>
          </w:tcPr>
          <w:p w14:paraId="11837395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1.B.1</w:t>
            </w:r>
          </w:p>
          <w:p w14:paraId="11837396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Variety of Assessment Methods</w:t>
            </w:r>
          </w:p>
          <w:p w14:paraId="11837397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Designs and administers a variety of informal and formal methods and assessments, including common interim assessments, to measure each student’s learning, growth, and progress toward achieving state/local standards.</w:t>
            </w:r>
          </w:p>
        </w:tc>
        <w:tc>
          <w:tcPr>
            <w:tcW w:w="5220" w:type="dxa"/>
            <w:vAlign w:val="center"/>
          </w:tcPr>
          <w:p w14:paraId="11837398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99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A0" w14:textId="77777777">
        <w:trPr>
          <w:trHeight w:val="576"/>
        </w:trPr>
        <w:tc>
          <w:tcPr>
            <w:tcW w:w="3055" w:type="dxa"/>
            <w:vAlign w:val="center"/>
          </w:tcPr>
          <w:p w14:paraId="1183739B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1.B.2</w:t>
            </w:r>
          </w:p>
          <w:p w14:paraId="1183739C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Adjustments to Practice</w:t>
            </w:r>
          </w:p>
          <w:p w14:paraId="1183739D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Organizes and analyzes results from a variety of assessments to determine progress toward intended outcomes and uses these findings to adjust practice and identify and/or implement appropriate differentiated interventions and enhanc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ements for students.</w:t>
            </w:r>
          </w:p>
        </w:tc>
        <w:tc>
          <w:tcPr>
            <w:tcW w:w="5220" w:type="dxa"/>
            <w:vAlign w:val="center"/>
          </w:tcPr>
          <w:p w14:paraId="1183739E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9F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A6" w14:textId="77777777">
        <w:trPr>
          <w:trHeight w:val="576"/>
        </w:trPr>
        <w:tc>
          <w:tcPr>
            <w:tcW w:w="3055" w:type="dxa"/>
            <w:vAlign w:val="center"/>
          </w:tcPr>
          <w:p w14:paraId="118373A1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1.C.3</w:t>
            </w:r>
          </w:p>
          <w:p w14:paraId="118373A2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Sharing Conclusions with Students</w:t>
            </w:r>
          </w:p>
          <w:p w14:paraId="118373A3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Based on assessment results, provides descriptive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feedback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and engages students and families in constructive conversation that focuses on how students can improve their performance.</w:t>
            </w:r>
          </w:p>
        </w:tc>
        <w:tc>
          <w:tcPr>
            <w:tcW w:w="5220" w:type="dxa"/>
            <w:vAlign w:val="center"/>
          </w:tcPr>
          <w:p w14:paraId="118373A4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A5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A8" w14:textId="77777777">
        <w:trPr>
          <w:trHeight w:val="350"/>
        </w:trPr>
        <w:tc>
          <w:tcPr>
            <w:tcW w:w="10070" w:type="dxa"/>
            <w:gridSpan w:val="3"/>
            <w:shd w:val="clear" w:color="auto" w:fill="7030A0"/>
            <w:vAlign w:val="center"/>
          </w:tcPr>
          <w:p w14:paraId="118373A7" w14:textId="77777777" w:rsidR="00CE5634" w:rsidRDefault="00E1326F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Standard II – Teaching All Students</w:t>
            </w:r>
          </w:p>
        </w:tc>
      </w:tr>
      <w:tr w:rsidR="00CE5634" w14:paraId="118373B0" w14:textId="77777777">
        <w:trPr>
          <w:trHeight w:val="576"/>
        </w:trPr>
        <w:tc>
          <w:tcPr>
            <w:tcW w:w="3055" w:type="dxa"/>
            <w:vAlign w:val="center"/>
          </w:tcPr>
          <w:p w14:paraId="118373A9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2.A.3</w:t>
            </w:r>
          </w:p>
          <w:p w14:paraId="118373AA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Meeting Diverse Needs</w:t>
            </w:r>
          </w:p>
          <w:p w14:paraId="118373AB" w14:textId="77777777" w:rsidR="00CE5634" w:rsidRDefault="00E1326F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Uses appropriate practices, including tiered instruction and scaffolds, to accommodate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differences in learning styles, needs, interests, and levels of readiness, including those of students with disabilities and English learners.</w:t>
            </w:r>
          </w:p>
          <w:p w14:paraId="118373AC" w14:textId="77777777" w:rsidR="00CE5634" w:rsidRDefault="00CE5634">
            <w:pPr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118373AD" w14:textId="77777777" w:rsidR="00CE5634" w:rsidRDefault="00CE5634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</w:tcPr>
          <w:p w14:paraId="118373AE" w14:textId="77777777" w:rsidR="00CE5634" w:rsidRDefault="00CE5634">
            <w:pPr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1795" w:type="dxa"/>
            <w:vAlign w:val="center"/>
          </w:tcPr>
          <w:p w14:paraId="118373AF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B6" w14:textId="77777777">
        <w:trPr>
          <w:trHeight w:val="576"/>
        </w:trPr>
        <w:tc>
          <w:tcPr>
            <w:tcW w:w="3055" w:type="dxa"/>
            <w:vAlign w:val="center"/>
          </w:tcPr>
          <w:p w14:paraId="118373B1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2.B.1</w:t>
            </w:r>
          </w:p>
          <w:p w14:paraId="118373B2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Safe Learning Environment</w:t>
            </w:r>
          </w:p>
          <w:p w14:paraId="118373B3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Uses rituals, routines, and appropriate responses that create and maintain a safe physical and intellectual environment where students take academic risks and most behaviors that interfere with learning are prevented.</w:t>
            </w:r>
          </w:p>
        </w:tc>
        <w:tc>
          <w:tcPr>
            <w:tcW w:w="5220" w:type="dxa"/>
            <w:vAlign w:val="center"/>
          </w:tcPr>
          <w:p w14:paraId="118373B4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B5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BC" w14:textId="77777777">
        <w:trPr>
          <w:trHeight w:val="576"/>
        </w:trPr>
        <w:tc>
          <w:tcPr>
            <w:tcW w:w="3055" w:type="dxa"/>
            <w:vAlign w:val="center"/>
          </w:tcPr>
          <w:p w14:paraId="118373B7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>.C.2</w:t>
            </w:r>
          </w:p>
          <w:p w14:paraId="118373B8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Maintains Respectful Environment</w:t>
            </w:r>
          </w:p>
          <w:p w14:paraId="118373B9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Anticipates and responds appropriately to conflicts or misunderstandings arising from differences in backgrounds, languages, and identities.</w:t>
            </w:r>
          </w:p>
        </w:tc>
        <w:tc>
          <w:tcPr>
            <w:tcW w:w="5220" w:type="dxa"/>
            <w:vAlign w:val="center"/>
          </w:tcPr>
          <w:p w14:paraId="118373BA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BB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C2" w14:textId="77777777">
        <w:trPr>
          <w:trHeight w:val="576"/>
        </w:trPr>
        <w:tc>
          <w:tcPr>
            <w:tcW w:w="3055" w:type="dxa"/>
            <w:vAlign w:val="center"/>
          </w:tcPr>
          <w:p w14:paraId="118373BD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2.D.1</w:t>
            </w:r>
          </w:p>
          <w:p w14:paraId="118373BE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Clear Expectations</w:t>
            </w:r>
          </w:p>
          <w:p w14:paraId="118373BF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Clearly communicates and consistently enforces specific standards of student work, effo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rt, and behavior so that most students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are able 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describe them and take ownership of meeting them.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Is able to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model this element.</w:t>
            </w:r>
          </w:p>
        </w:tc>
        <w:tc>
          <w:tcPr>
            <w:tcW w:w="5220" w:type="dxa"/>
            <w:vAlign w:val="center"/>
          </w:tcPr>
          <w:p w14:paraId="118373C0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C1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C8" w14:textId="77777777">
        <w:trPr>
          <w:trHeight w:val="576"/>
        </w:trPr>
        <w:tc>
          <w:tcPr>
            <w:tcW w:w="3055" w:type="dxa"/>
            <w:vAlign w:val="center"/>
          </w:tcPr>
          <w:p w14:paraId="118373C3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2.D.2</w:t>
            </w:r>
          </w:p>
          <w:p w14:paraId="118373C4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High Expectations</w:t>
            </w:r>
          </w:p>
          <w:p w14:paraId="118373C5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Effectively models and reinforces ways that students can master challenging material through effe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ctive effort, rather than having to depend on innate ability.</w:t>
            </w:r>
          </w:p>
        </w:tc>
        <w:tc>
          <w:tcPr>
            <w:tcW w:w="5220" w:type="dxa"/>
            <w:vAlign w:val="center"/>
          </w:tcPr>
          <w:p w14:paraId="118373C6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C7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CA" w14:textId="77777777">
        <w:trPr>
          <w:trHeight w:val="296"/>
        </w:trPr>
        <w:tc>
          <w:tcPr>
            <w:tcW w:w="10070" w:type="dxa"/>
            <w:gridSpan w:val="3"/>
            <w:shd w:val="clear" w:color="auto" w:fill="7030A0"/>
            <w:vAlign w:val="center"/>
          </w:tcPr>
          <w:p w14:paraId="118373C9" w14:textId="77777777" w:rsidR="00CE5634" w:rsidRDefault="00E1326F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Standard III – Family and Community Engagement</w:t>
            </w:r>
          </w:p>
        </w:tc>
      </w:tr>
      <w:tr w:rsidR="00CE5634" w14:paraId="118373D0" w14:textId="77777777">
        <w:trPr>
          <w:trHeight w:val="1331"/>
        </w:trPr>
        <w:tc>
          <w:tcPr>
            <w:tcW w:w="3055" w:type="dxa"/>
            <w:vAlign w:val="center"/>
          </w:tcPr>
          <w:p w14:paraId="118373CB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3.A.1</w:t>
            </w:r>
          </w:p>
          <w:p w14:paraId="118373CC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Parent/Family Engagement</w:t>
            </w:r>
          </w:p>
          <w:p w14:paraId="118373CD" w14:textId="77777777" w:rsidR="00CE5634" w:rsidRDefault="00E1326F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Uses a variety of strategies to support every family to participate actively and appropriately in the classroom and school community.</w:t>
            </w:r>
          </w:p>
        </w:tc>
        <w:tc>
          <w:tcPr>
            <w:tcW w:w="5220" w:type="dxa"/>
            <w:vAlign w:val="center"/>
          </w:tcPr>
          <w:p w14:paraId="118373CE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CF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D6" w14:textId="77777777">
        <w:trPr>
          <w:trHeight w:val="576"/>
        </w:trPr>
        <w:tc>
          <w:tcPr>
            <w:tcW w:w="3055" w:type="dxa"/>
            <w:vAlign w:val="center"/>
          </w:tcPr>
          <w:p w14:paraId="118373D1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3.B.1</w:t>
            </w:r>
          </w:p>
          <w:p w14:paraId="118373D2" w14:textId="77777777" w:rsidR="00CE5634" w:rsidRDefault="00E1326F">
            <w:pPr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Learning Expectations</w:t>
            </w:r>
          </w:p>
          <w:p w14:paraId="118373D3" w14:textId="77777777" w:rsidR="00CE5634" w:rsidRDefault="00E1326F">
            <w:pPr>
              <w:spacing w:after="20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Consistently provides parents with clear, user-friendly expectations for student learning and behavior. </w:t>
            </w:r>
          </w:p>
        </w:tc>
        <w:tc>
          <w:tcPr>
            <w:tcW w:w="5220" w:type="dxa"/>
            <w:vAlign w:val="center"/>
          </w:tcPr>
          <w:p w14:paraId="118373D4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D5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DC" w14:textId="77777777">
        <w:trPr>
          <w:trHeight w:val="576"/>
        </w:trPr>
        <w:tc>
          <w:tcPr>
            <w:tcW w:w="3055" w:type="dxa"/>
            <w:vAlign w:val="center"/>
          </w:tcPr>
          <w:p w14:paraId="118373D7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3.C.1</w:t>
            </w:r>
          </w:p>
          <w:p w14:paraId="118373D8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Two-Way Communication</w:t>
            </w:r>
          </w:p>
          <w:p w14:paraId="118373D9" w14:textId="77777777" w:rsidR="00CE5634" w:rsidRDefault="00E1326F">
            <w:pPr>
              <w:spacing w:after="2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Regularly uses two-way communication with families about student performance and learning and responds promptly and carefully to communications from families.</w:t>
            </w:r>
          </w:p>
        </w:tc>
        <w:tc>
          <w:tcPr>
            <w:tcW w:w="5220" w:type="dxa"/>
            <w:vAlign w:val="center"/>
          </w:tcPr>
          <w:p w14:paraId="118373DA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DB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DE" w14:textId="77777777">
        <w:trPr>
          <w:trHeight w:val="287"/>
        </w:trPr>
        <w:tc>
          <w:tcPr>
            <w:tcW w:w="10070" w:type="dxa"/>
            <w:gridSpan w:val="3"/>
            <w:shd w:val="clear" w:color="auto" w:fill="7030A0"/>
            <w:vAlign w:val="center"/>
          </w:tcPr>
          <w:p w14:paraId="118373DD" w14:textId="77777777" w:rsidR="00CE5634" w:rsidRDefault="00E1326F">
            <w:pPr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Standard IV – Professional Culture</w:t>
            </w:r>
          </w:p>
        </w:tc>
      </w:tr>
      <w:tr w:rsidR="00CE5634" w14:paraId="118373E5" w14:textId="77777777">
        <w:trPr>
          <w:trHeight w:val="576"/>
        </w:trPr>
        <w:tc>
          <w:tcPr>
            <w:tcW w:w="3055" w:type="dxa"/>
            <w:vAlign w:val="center"/>
          </w:tcPr>
          <w:p w14:paraId="118373DF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4.A.1</w:t>
            </w:r>
          </w:p>
          <w:p w14:paraId="118373E0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Reflective Practice</w:t>
            </w:r>
          </w:p>
          <w:p w14:paraId="118373E1" w14:textId="77777777" w:rsidR="00CE5634" w:rsidRDefault="00E1326F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Regularly reflects on the effectiveness of lessons, units, and interactions with students, both individually and with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lastRenderedPageBreak/>
              <w:t>colleagues, and uses insights gained to improve practice and student learning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14:paraId="118373E2" w14:textId="77777777" w:rsidR="00CE5634" w:rsidRDefault="00CE5634">
            <w:pPr>
              <w:spacing w:after="200" w:line="276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20" w:type="dxa"/>
            <w:vAlign w:val="center"/>
          </w:tcPr>
          <w:p w14:paraId="118373E3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E4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EB" w14:textId="77777777">
        <w:trPr>
          <w:trHeight w:val="576"/>
        </w:trPr>
        <w:tc>
          <w:tcPr>
            <w:tcW w:w="3055" w:type="dxa"/>
            <w:vAlign w:val="center"/>
          </w:tcPr>
          <w:p w14:paraId="118373E6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4.B.1</w:t>
            </w:r>
          </w:p>
          <w:p w14:paraId="118373E7" w14:textId="77777777" w:rsidR="00CE5634" w:rsidRDefault="00E1326F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Professional Learning and Growth</w:t>
            </w:r>
          </w:p>
          <w:p w14:paraId="118373E8" w14:textId="77777777" w:rsidR="00CE5634" w:rsidRDefault="00E1326F">
            <w:pPr>
              <w:spacing w:after="2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Consistently seeks out and applies, when appropriate, ideas for improving practice from supervisors, colleagues, professional development activities, and other resources to gain expertise and/or assume different instruction and leadership responsibilities.</w:t>
            </w:r>
          </w:p>
        </w:tc>
        <w:tc>
          <w:tcPr>
            <w:tcW w:w="5220" w:type="dxa"/>
            <w:vAlign w:val="center"/>
          </w:tcPr>
          <w:p w14:paraId="118373E9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EA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  <w:tr w:rsidR="00CE5634" w14:paraId="118373F2" w14:textId="77777777">
        <w:trPr>
          <w:trHeight w:val="576"/>
        </w:trPr>
        <w:tc>
          <w:tcPr>
            <w:tcW w:w="3055" w:type="dxa"/>
            <w:vAlign w:val="center"/>
          </w:tcPr>
          <w:p w14:paraId="118373EC" w14:textId="77777777" w:rsidR="00CE5634" w:rsidRDefault="00E1326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4.C.1</w:t>
            </w:r>
          </w:p>
          <w:p w14:paraId="118373ED" w14:textId="77777777" w:rsidR="00CE5634" w:rsidRDefault="00E1326F">
            <w:pPr>
              <w:rPr>
                <w:rFonts w:ascii="Calibri" w:eastAsia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Professional Collaboration</w:t>
            </w:r>
          </w:p>
          <w:p w14:paraId="118373EE" w14:textId="77777777" w:rsidR="00CE5634" w:rsidRDefault="00E1326F">
            <w:pPr>
              <w:spacing w:after="2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Consistently and effectively collaborates with colleagues in such work as developing standards-based units, examining student work, analyzing student performance, and planning appropriate intervention.</w:t>
            </w:r>
          </w:p>
          <w:p w14:paraId="118373EF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20" w:type="dxa"/>
            <w:vAlign w:val="center"/>
          </w:tcPr>
          <w:p w14:paraId="118373F0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95" w:type="dxa"/>
            <w:vAlign w:val="center"/>
          </w:tcPr>
          <w:p w14:paraId="118373F1" w14:textId="77777777" w:rsidR="00CE5634" w:rsidRDefault="00CE5634">
            <w:pPr>
              <w:rPr>
                <w:rFonts w:ascii="Calibri" w:eastAsia="Calibri" w:hAnsi="Calibri" w:cs="Calibri"/>
              </w:rPr>
            </w:pPr>
          </w:p>
        </w:tc>
      </w:tr>
    </w:tbl>
    <w:p w14:paraId="118373F3" w14:textId="77777777" w:rsidR="00CE5634" w:rsidRDefault="00CE5634">
      <w:pPr>
        <w:tabs>
          <w:tab w:val="left" w:pos="9360"/>
        </w:tabs>
        <w:spacing w:after="60" w:line="276" w:lineRule="auto"/>
        <w:jc w:val="both"/>
        <w:rPr>
          <w:sz w:val="20"/>
          <w:szCs w:val="20"/>
        </w:rPr>
      </w:pPr>
    </w:p>
    <w:p w14:paraId="118373F4" w14:textId="77777777" w:rsidR="00CE5634" w:rsidRDefault="00CE5634">
      <w:pPr>
        <w:spacing w:after="0" w:line="240" w:lineRule="auto"/>
        <w:rPr>
          <w:sz w:val="20"/>
          <w:szCs w:val="20"/>
        </w:rPr>
      </w:pPr>
    </w:p>
    <w:p w14:paraId="118373F5" w14:textId="77777777" w:rsidR="00CE5634" w:rsidRDefault="00CE5634">
      <w:pPr>
        <w:spacing w:after="0" w:line="240" w:lineRule="auto"/>
        <w:rPr>
          <w:sz w:val="20"/>
          <w:szCs w:val="20"/>
        </w:rPr>
      </w:pPr>
    </w:p>
    <w:p w14:paraId="118373F6" w14:textId="77777777" w:rsidR="00CE5634" w:rsidRDefault="00CE5634">
      <w:pPr>
        <w:spacing w:after="0" w:line="240" w:lineRule="auto"/>
        <w:rPr>
          <w:sz w:val="24"/>
          <w:szCs w:val="24"/>
        </w:rPr>
        <w:sectPr w:rsidR="00CE56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188" w:gutter="0"/>
          <w:pgNumType w:start="1"/>
          <w:cols w:space="720"/>
        </w:sectPr>
      </w:pPr>
    </w:p>
    <w:p w14:paraId="118373F7" w14:textId="77777777" w:rsidR="00CE5634" w:rsidRDefault="00CE5634"/>
    <w:sectPr w:rsidR="00CE563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72F80" w14:textId="77777777" w:rsidR="00E1326F" w:rsidRDefault="00E1326F">
      <w:pPr>
        <w:spacing w:after="0" w:line="240" w:lineRule="auto"/>
      </w:pPr>
      <w:r>
        <w:separator/>
      </w:r>
    </w:p>
  </w:endnote>
  <w:endnote w:type="continuationSeparator" w:id="0">
    <w:p w14:paraId="47B098E5" w14:textId="77777777" w:rsidR="00E1326F" w:rsidRDefault="00E1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73F9" w14:textId="77777777" w:rsidR="00CE5634" w:rsidRDefault="00E13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8373FA" w14:textId="77777777" w:rsidR="00CE5634" w:rsidRDefault="00CE563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373FB" w14:textId="2E274FE9" w:rsidR="00CE5634" w:rsidRDefault="00E13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E477E">
      <w:rPr>
        <w:color w:val="000000"/>
      </w:rPr>
      <w:fldChar w:fldCharType="separate"/>
    </w:r>
    <w:r w:rsidR="002E477E">
      <w:rPr>
        <w:noProof/>
        <w:color w:val="000000"/>
      </w:rPr>
      <w:t>1</w:t>
    </w:r>
    <w:r>
      <w:rPr>
        <w:color w:val="000000"/>
      </w:rPr>
      <w:fldChar w:fldCharType="end"/>
    </w:r>
  </w:p>
  <w:p w14:paraId="118373FC" w14:textId="77777777" w:rsidR="00CE5634" w:rsidRDefault="00E13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 xml:space="preserve">e-Portfolio Evidence Implementation </w:t>
    </w:r>
    <w:proofErr w:type="gramStart"/>
    <w:r>
      <w:rPr>
        <w:i/>
        <w:color w:val="000000"/>
        <w:sz w:val="16"/>
        <w:szCs w:val="16"/>
      </w:rPr>
      <w:t>Plan  9</w:t>
    </w:r>
    <w:proofErr w:type="gramEnd"/>
    <w:r>
      <w:rPr>
        <w:i/>
        <w:color w:val="000000"/>
        <w:sz w:val="16"/>
        <w:szCs w:val="16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CA0F8" w14:textId="77777777" w:rsidR="002E477E" w:rsidRDefault="002E4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6716E" w14:textId="77777777" w:rsidR="00E1326F" w:rsidRDefault="00E1326F">
      <w:pPr>
        <w:spacing w:after="0" w:line="240" w:lineRule="auto"/>
      </w:pPr>
      <w:r>
        <w:separator/>
      </w:r>
    </w:p>
  </w:footnote>
  <w:footnote w:type="continuationSeparator" w:id="0">
    <w:p w14:paraId="7047B72B" w14:textId="77777777" w:rsidR="00E1326F" w:rsidRDefault="00E1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B76C" w14:textId="77777777" w:rsidR="002E477E" w:rsidRDefault="002E47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3D893" w14:textId="3D59999A" w:rsidR="002E477E" w:rsidRDefault="002E477E" w:rsidP="00D016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after="0" w:line="240" w:lineRule="auto"/>
      <w:ind w:left="-142"/>
      <w:rPr>
        <w:iCs/>
        <w:sz w:val="36"/>
        <w:szCs w:val="36"/>
      </w:rPr>
    </w:pPr>
    <w:r>
      <w:rPr>
        <w:iCs/>
        <w:noProof/>
        <w:sz w:val="36"/>
        <w:szCs w:val="36"/>
      </w:rPr>
      <w:drawing>
        <wp:inline distT="0" distB="0" distL="0" distR="0" wp14:anchorId="316681A9" wp14:editId="2D34709B">
          <wp:extent cx="1192357" cy="468000"/>
          <wp:effectExtent l="0" t="0" r="8255" b="8255"/>
          <wp:docPr id="1" name="Picture 1" descr="A blue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357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8373F8" w14:textId="0E6B7F00" w:rsidR="00CE5634" w:rsidRDefault="00E132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after="0" w:line="240" w:lineRule="auto"/>
      <w:rPr>
        <w:b/>
        <w:iCs/>
        <w:sz w:val="36"/>
        <w:szCs w:val="36"/>
      </w:rPr>
    </w:pPr>
    <w:r w:rsidRPr="002E477E">
      <w:rPr>
        <w:iCs/>
        <w:sz w:val="36"/>
        <w:szCs w:val="36"/>
      </w:rPr>
      <w:tab/>
    </w:r>
    <w:r w:rsidRPr="002E477E">
      <w:rPr>
        <w:b/>
        <w:iCs/>
        <w:sz w:val="36"/>
        <w:szCs w:val="36"/>
      </w:rPr>
      <w:t>e-Portfolio Implementation Evidence Plan Form</w:t>
    </w:r>
  </w:p>
  <w:p w14:paraId="6C97963C" w14:textId="77777777" w:rsidR="002E477E" w:rsidRPr="002E477E" w:rsidRDefault="002E47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080"/>
      </w:tabs>
      <w:spacing w:after="0" w:line="240" w:lineRule="auto"/>
      <w:rPr>
        <w:b/>
        <w:iCs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FA19E" w14:textId="77777777" w:rsidR="002E477E" w:rsidRDefault="002E47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0107B"/>
    <w:multiLevelType w:val="multilevel"/>
    <w:tmpl w:val="D34EF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34"/>
    <w:rsid w:val="002E477E"/>
    <w:rsid w:val="00CE5634"/>
    <w:rsid w:val="00D016E7"/>
    <w:rsid w:val="00E1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7376"/>
  <w15:docId w15:val="{6920F76C-F155-4FBE-AAE3-E509BB18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A3649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A3649"/>
    <w:rPr>
      <w:sz w:val="24"/>
    </w:rPr>
  </w:style>
  <w:style w:type="table" w:customStyle="1" w:styleId="TableGrid2">
    <w:name w:val="Table Grid2"/>
    <w:basedOn w:val="TableNormal"/>
    <w:next w:val="TableGrid"/>
    <w:uiPriority w:val="39"/>
    <w:rsid w:val="001A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A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07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AF3"/>
  </w:style>
  <w:style w:type="table" w:customStyle="1" w:styleId="TableGrid1">
    <w:name w:val="Table Grid1"/>
    <w:basedOn w:val="TableNormal"/>
    <w:next w:val="TableGrid"/>
    <w:uiPriority w:val="59"/>
    <w:rsid w:val="00894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3081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15CAE"/>
  </w:style>
  <w:style w:type="paragraph" w:styleId="BalloonText">
    <w:name w:val="Balloon Text"/>
    <w:basedOn w:val="Normal"/>
    <w:link w:val="BalloonTextChar"/>
    <w:uiPriority w:val="99"/>
    <w:semiHidden/>
    <w:unhideWhenUsed/>
    <w:rsid w:val="006A44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BC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zfqkVGp4XxllMS8/tNx+NByX7A==">AMUW2mUTshvsF6zYGrDYXlatsp8ZdCYMlDc5RLnyg9oP+CpCZOgFw34+e3AQE2ouzPonkfEzDVp4KfHaGT1ez1peqAhlpaPDjhVv1ThWEe/d3OHOQaUC161uh9srsFEmrdUxSjCTbir2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</dc:creator>
  <cp:lastModifiedBy>Mat Kirby</cp:lastModifiedBy>
  <cp:revision>3</cp:revision>
  <dcterms:created xsi:type="dcterms:W3CDTF">2020-10-22T20:56:00Z</dcterms:created>
  <dcterms:modified xsi:type="dcterms:W3CDTF">2021-02-15T17:55:00Z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3 2020</vt:lpwstr>
  </property>
</Properties>
</file>