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EEAAE" w14:textId="77777777" w:rsidR="00852D2F" w:rsidRDefault="00852D2F" w:rsidP="00EA345F">
      <w:pPr>
        <w:rPr>
          <w:b/>
          <w:noProof/>
          <w:sz w:val="36"/>
          <w:szCs w:val="36"/>
        </w:rPr>
      </w:pPr>
      <w:r>
        <w:rPr>
          <w:b/>
          <w:noProof/>
          <w:sz w:val="36"/>
          <w:szCs w:val="36"/>
        </w:rPr>
        <w:t xml:space="preserve">               </w:t>
      </w:r>
    </w:p>
    <w:p w14:paraId="678DE9A7" w14:textId="0A07C1E1" w:rsidR="003C62F6" w:rsidRDefault="003C62F6" w:rsidP="00EA345F">
      <w:pPr>
        <w:rPr>
          <w:noProof/>
          <w:sz w:val="32"/>
          <w:szCs w:val="32"/>
        </w:rPr>
      </w:pPr>
      <w:r>
        <w:rPr>
          <w:noProof/>
          <w:sz w:val="32"/>
          <w:szCs w:val="32"/>
        </w:rPr>
        <w:t xml:space="preserve"> </w:t>
      </w:r>
      <w:r w:rsidR="00525315">
        <w:rPr>
          <w:noProof/>
          <w:sz w:val="32"/>
          <w:szCs w:val="32"/>
        </w:rPr>
        <w:drawing>
          <wp:inline distT="0" distB="0" distL="0" distR="0" wp14:anchorId="65A4B0E3" wp14:editId="1EF5B949">
            <wp:extent cx="816272" cy="78295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2470" cy="798492"/>
                    </a:xfrm>
                    <a:prstGeom prst="rect">
                      <a:avLst/>
                    </a:prstGeom>
                    <a:noFill/>
                  </pic:spPr>
                </pic:pic>
              </a:graphicData>
            </a:graphic>
          </wp:inline>
        </w:drawing>
      </w:r>
      <w:r>
        <w:rPr>
          <w:noProof/>
          <w:sz w:val="32"/>
          <w:szCs w:val="32"/>
        </w:rPr>
        <w:t xml:space="preserve">        </w:t>
      </w:r>
      <w:r w:rsidR="00525315">
        <w:rPr>
          <w:b/>
          <w:noProof/>
          <w:sz w:val="36"/>
          <w:szCs w:val="36"/>
        </w:rPr>
        <w:t xml:space="preserve">                                          </w:t>
      </w:r>
      <w:r w:rsidR="00983CD6">
        <w:rPr>
          <w:b/>
          <w:noProof/>
          <w:sz w:val="36"/>
          <w:szCs w:val="36"/>
        </w:rPr>
        <w:t xml:space="preserve"> </w:t>
      </w:r>
      <w:r w:rsidR="00525315">
        <w:rPr>
          <w:b/>
          <w:noProof/>
          <w:sz w:val="36"/>
          <w:szCs w:val="36"/>
        </w:rPr>
        <w:t xml:space="preserve">      </w:t>
      </w:r>
      <w:r w:rsidR="00983CD6">
        <w:rPr>
          <w:b/>
          <w:noProof/>
          <w:sz w:val="36"/>
          <w:szCs w:val="36"/>
        </w:rPr>
        <w:t xml:space="preserve">     </w:t>
      </w:r>
      <w:r w:rsidR="00525315">
        <w:rPr>
          <w:b/>
          <w:noProof/>
          <w:sz w:val="36"/>
          <w:szCs w:val="36"/>
        </w:rPr>
        <w:t xml:space="preserve">     </w:t>
      </w:r>
      <w:r w:rsidR="006448B0">
        <w:rPr>
          <w:b/>
          <w:noProof/>
          <w:sz w:val="36"/>
          <w:szCs w:val="36"/>
        </w:rPr>
        <w:t xml:space="preserve">          </w:t>
      </w:r>
      <w:r w:rsidR="00525315">
        <w:rPr>
          <w:b/>
          <w:noProof/>
          <w:sz w:val="36"/>
          <w:szCs w:val="36"/>
        </w:rPr>
        <w:t xml:space="preserve"> </w:t>
      </w:r>
      <w:r w:rsidR="00983CD6">
        <w:rPr>
          <w:b/>
          <w:noProof/>
          <w:sz w:val="36"/>
          <w:szCs w:val="36"/>
        </w:rPr>
        <w:t xml:space="preserve">    </w:t>
      </w:r>
      <w:r w:rsidR="006448B0" w:rsidRPr="004D5A8B">
        <w:rPr>
          <w:noProof/>
        </w:rPr>
        <w:drawing>
          <wp:inline distT="0" distB="0" distL="0" distR="0" wp14:anchorId="2AB9F88E" wp14:editId="2ADF13EA">
            <wp:extent cx="793750" cy="793750"/>
            <wp:effectExtent l="0" t="0" r="0" b="0"/>
            <wp:docPr id="1" name="Picture 1" descr="LLRMI – Training and Expert Services for Law Enforcement, Jails &amp; Corrections, Insurance Pools, Risk Managers, and Attorne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LRMI – Training and Expert Services for Law Enforcement, Jails &amp; Corrections, Insurance Pools, Risk Managers, and Attorney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a:ln>
                      <a:noFill/>
                    </a:ln>
                  </pic:spPr>
                </pic:pic>
              </a:graphicData>
            </a:graphic>
          </wp:inline>
        </w:drawing>
      </w:r>
    </w:p>
    <w:p w14:paraId="4A49A0B5" w14:textId="796A9C28" w:rsidR="00EA345F" w:rsidRPr="00525315" w:rsidRDefault="00F86B66" w:rsidP="00EA345F">
      <w:pPr>
        <w:rPr>
          <w:b/>
          <w:noProof/>
          <w:sz w:val="32"/>
          <w:szCs w:val="32"/>
        </w:rPr>
      </w:pPr>
      <w:r>
        <w:rPr>
          <w:noProof/>
          <w:sz w:val="32"/>
          <w:szCs w:val="32"/>
        </w:rPr>
        <w:t xml:space="preserve">          </w:t>
      </w:r>
      <w:r w:rsidR="00525315">
        <w:rPr>
          <w:noProof/>
          <w:sz w:val="32"/>
          <w:szCs w:val="32"/>
        </w:rPr>
        <w:t xml:space="preserve">                                       </w:t>
      </w:r>
      <w:r w:rsidR="00525315" w:rsidRPr="00525315">
        <w:rPr>
          <w:b/>
          <w:noProof/>
          <w:sz w:val="32"/>
          <w:szCs w:val="32"/>
        </w:rP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630"/>
        <w:gridCol w:w="4950"/>
      </w:tblGrid>
      <w:tr w:rsidR="00EA345F" w14:paraId="094620BF" w14:textId="77777777" w:rsidTr="00411B12">
        <w:trPr>
          <w:trHeight w:val="900"/>
        </w:trPr>
        <w:tc>
          <w:tcPr>
            <w:tcW w:w="4320" w:type="dxa"/>
          </w:tcPr>
          <w:p w14:paraId="05A70EF5" w14:textId="77777777" w:rsidR="00EA345F" w:rsidRDefault="00EA345F" w:rsidP="00411B12">
            <w:pPr>
              <w:pStyle w:val="Heading1"/>
              <w:rPr>
                <w:sz w:val="28"/>
                <w:szCs w:val="28"/>
              </w:rPr>
            </w:pPr>
            <w:r>
              <w:t>Driver Privacy Protection</w:t>
            </w:r>
          </w:p>
        </w:tc>
        <w:tc>
          <w:tcPr>
            <w:tcW w:w="5580" w:type="dxa"/>
            <w:gridSpan w:val="2"/>
          </w:tcPr>
          <w:p w14:paraId="74F58041" w14:textId="77777777" w:rsidR="00EA345F" w:rsidRDefault="00EA345F" w:rsidP="00411B12">
            <w:pPr>
              <w:rPr>
                <w:rFonts w:ascii="Arial" w:hAnsi="Arial"/>
              </w:rPr>
            </w:pPr>
            <w:r>
              <w:rPr>
                <w:rFonts w:ascii="Arial" w:hAnsi="Arial"/>
              </w:rPr>
              <w:t>Related Policies:</w:t>
            </w:r>
          </w:p>
        </w:tc>
      </w:tr>
      <w:tr w:rsidR="00EA345F" w14:paraId="0AD7C545" w14:textId="77777777" w:rsidTr="00411B12">
        <w:trPr>
          <w:trHeight w:val="1275"/>
        </w:trPr>
        <w:tc>
          <w:tcPr>
            <w:tcW w:w="9900" w:type="dxa"/>
            <w:gridSpan w:val="3"/>
          </w:tcPr>
          <w:p w14:paraId="6262FED9" w14:textId="77777777" w:rsidR="00EA345F" w:rsidRDefault="00EA345F" w:rsidP="00411B12">
            <w:pPr>
              <w:jc w:val="both"/>
              <w:rPr>
                <w:rFonts w:ascii="Arial" w:hAnsi="Arial" w:cs="Arial"/>
                <w:i/>
              </w:rPr>
            </w:pPr>
            <w:r>
              <w:rPr>
                <w:rFonts w:ascii="Arial" w:hAnsi="Arial" w:cs="Arial"/>
                <w:i/>
              </w:rPr>
              <w:t>This policy is for internal use only and does not enlarge an employee’s civil liability in any way. The policy should not be construed as creating a higher duty of care, in an evidentiary sense, with respect to third party civil claims against employees. A violation of this policy, if proven, can only form the basis of a complaint by this agency for non-judicial administrative action in accordance with the laws governing employee discipline.</w:t>
            </w:r>
          </w:p>
        </w:tc>
      </w:tr>
      <w:tr w:rsidR="00EA345F" w14:paraId="27B1C25C" w14:textId="77777777" w:rsidTr="00411B12">
        <w:trPr>
          <w:trHeight w:val="710"/>
        </w:trPr>
        <w:tc>
          <w:tcPr>
            <w:tcW w:w="9900" w:type="dxa"/>
            <w:gridSpan w:val="3"/>
          </w:tcPr>
          <w:p w14:paraId="12B793E7" w14:textId="77777777" w:rsidR="00EA345F" w:rsidRDefault="00EA345F" w:rsidP="00411B12">
            <w:pPr>
              <w:jc w:val="both"/>
              <w:rPr>
                <w:rFonts w:ascii="Arial" w:hAnsi="Arial" w:cs="Arial"/>
              </w:rPr>
            </w:pPr>
            <w:r>
              <w:rPr>
                <w:rFonts w:ascii="Arial" w:hAnsi="Arial" w:cs="Arial"/>
              </w:rPr>
              <w:t xml:space="preserve">Applicable State Statutes: </w:t>
            </w:r>
          </w:p>
        </w:tc>
      </w:tr>
      <w:tr w:rsidR="00EA345F" w14:paraId="0C70E8A3" w14:textId="77777777" w:rsidTr="00411B12">
        <w:trPr>
          <w:trHeight w:val="710"/>
        </w:trPr>
        <w:tc>
          <w:tcPr>
            <w:tcW w:w="9900" w:type="dxa"/>
            <w:gridSpan w:val="3"/>
          </w:tcPr>
          <w:p w14:paraId="697A1B29" w14:textId="77777777" w:rsidR="00EA345F" w:rsidRDefault="00EA345F" w:rsidP="00411B12">
            <w:pPr>
              <w:jc w:val="both"/>
              <w:rPr>
                <w:rFonts w:ascii="Arial" w:hAnsi="Arial" w:cs="Arial"/>
              </w:rPr>
            </w:pPr>
            <w:r>
              <w:rPr>
                <w:rFonts w:ascii="Arial" w:hAnsi="Arial" w:cs="Arial"/>
              </w:rPr>
              <w:t xml:space="preserve">CALEA Standard:  </w:t>
            </w:r>
          </w:p>
        </w:tc>
      </w:tr>
      <w:tr w:rsidR="00EA345F" w14:paraId="37149911" w14:textId="77777777" w:rsidTr="00411B12">
        <w:trPr>
          <w:trHeight w:val="710"/>
        </w:trPr>
        <w:tc>
          <w:tcPr>
            <w:tcW w:w="4950" w:type="dxa"/>
            <w:gridSpan w:val="2"/>
          </w:tcPr>
          <w:p w14:paraId="6299688A" w14:textId="77777777" w:rsidR="00EA345F" w:rsidRDefault="00EA345F" w:rsidP="00411B12">
            <w:pPr>
              <w:jc w:val="both"/>
              <w:rPr>
                <w:rFonts w:ascii="Arial" w:hAnsi="Arial" w:cs="Arial"/>
              </w:rPr>
            </w:pPr>
            <w:r w:rsidRPr="00A02056">
              <w:rPr>
                <w:rFonts w:ascii="Arial" w:hAnsi="Arial" w:cs="Arial"/>
              </w:rPr>
              <w:t>Date Implemented:</w:t>
            </w:r>
          </w:p>
        </w:tc>
        <w:tc>
          <w:tcPr>
            <w:tcW w:w="4950" w:type="dxa"/>
          </w:tcPr>
          <w:p w14:paraId="324C603C" w14:textId="77777777" w:rsidR="00EA345F" w:rsidRDefault="00EA345F" w:rsidP="00411B12">
            <w:pPr>
              <w:jc w:val="both"/>
              <w:rPr>
                <w:rFonts w:ascii="Arial" w:hAnsi="Arial" w:cs="Arial"/>
              </w:rPr>
            </w:pPr>
            <w:r w:rsidRPr="00A02056">
              <w:rPr>
                <w:rFonts w:ascii="Arial" w:hAnsi="Arial" w:cs="Arial"/>
              </w:rPr>
              <w:t>Review Date:</w:t>
            </w:r>
          </w:p>
        </w:tc>
      </w:tr>
    </w:tbl>
    <w:p w14:paraId="2C40EEA7" w14:textId="77777777" w:rsidR="00EA345F" w:rsidRDefault="00EA345F" w:rsidP="00EA345F">
      <w:pPr>
        <w:spacing w:after="120"/>
        <w:rPr>
          <w:rFonts w:ascii="Arial" w:hAnsi="Arial" w:cs="Arial"/>
        </w:rPr>
      </w:pPr>
    </w:p>
    <w:p w14:paraId="52104F77" w14:textId="5CF6463D" w:rsidR="00EA345F" w:rsidRPr="005978DE" w:rsidRDefault="00EA345F" w:rsidP="005978DE">
      <w:pPr>
        <w:numPr>
          <w:ilvl w:val="0"/>
          <w:numId w:val="1"/>
        </w:numPr>
        <w:tabs>
          <w:tab w:val="num" w:pos="1080"/>
        </w:tabs>
        <w:overflowPunct w:val="0"/>
        <w:autoSpaceDE w:val="0"/>
        <w:autoSpaceDN w:val="0"/>
        <w:adjustRightInd w:val="0"/>
        <w:spacing w:after="240"/>
        <w:jc w:val="both"/>
        <w:textAlignment w:val="baseline"/>
        <w:rPr>
          <w:rFonts w:ascii="Arial" w:hAnsi="Arial"/>
          <w:color w:val="000000"/>
        </w:rPr>
      </w:pPr>
      <w:r w:rsidRPr="00EA345F">
        <w:rPr>
          <w:rFonts w:ascii="Arial" w:hAnsi="Arial" w:cs="Arial"/>
          <w:b/>
        </w:rPr>
        <w:t>Purpose</w:t>
      </w:r>
      <w:r w:rsidR="00575F21">
        <w:rPr>
          <w:rFonts w:ascii="Arial" w:hAnsi="Arial" w:cs="Arial"/>
        </w:rPr>
        <w:t>:  The purpose of</w:t>
      </w:r>
      <w:r w:rsidRPr="00EA345F">
        <w:rPr>
          <w:rFonts w:ascii="Arial" w:hAnsi="Arial" w:cs="Arial"/>
        </w:rPr>
        <w:t xml:space="preserve"> this </w:t>
      </w:r>
      <w:r w:rsidR="00A06F6E">
        <w:rPr>
          <w:rFonts w:ascii="Arial" w:hAnsi="Arial" w:cs="Arial"/>
        </w:rPr>
        <w:t xml:space="preserve">directive is to establish </w:t>
      </w:r>
      <w:r w:rsidR="00983CD6">
        <w:rPr>
          <w:rFonts w:ascii="Arial" w:hAnsi="Arial" w:cs="Arial"/>
        </w:rPr>
        <w:t xml:space="preserve">agency </w:t>
      </w:r>
      <w:r>
        <w:rPr>
          <w:rFonts w:ascii="Arial" w:hAnsi="Arial" w:cs="Arial"/>
        </w:rPr>
        <w:t xml:space="preserve">policy on obtaining and/or disclosing personal information of drivers or other individuals derived from the state department of motor vehicles.  </w:t>
      </w:r>
      <w:r>
        <w:rPr>
          <w:rFonts w:ascii="Arial" w:hAnsi="Arial"/>
          <w:color w:val="000000"/>
        </w:rPr>
        <w:t>Complianc</w:t>
      </w:r>
      <w:r w:rsidR="00575F21">
        <w:rPr>
          <w:rFonts w:ascii="Arial" w:hAnsi="Arial"/>
          <w:color w:val="000000"/>
        </w:rPr>
        <w:t xml:space="preserve">e with this directive will ensure that the </w:t>
      </w:r>
      <w:r w:rsidR="00983CD6">
        <w:rPr>
          <w:rFonts w:ascii="Arial" w:hAnsi="Arial"/>
          <w:color w:val="000000"/>
        </w:rPr>
        <w:t>a</w:t>
      </w:r>
      <w:r w:rsidR="00575F21">
        <w:rPr>
          <w:rFonts w:ascii="Arial" w:hAnsi="Arial"/>
          <w:color w:val="000000"/>
        </w:rPr>
        <w:t>gency is in</w:t>
      </w:r>
      <w:r>
        <w:rPr>
          <w:rFonts w:ascii="Arial" w:hAnsi="Arial"/>
          <w:color w:val="000000"/>
        </w:rPr>
        <w:t xml:space="preserve"> compliance with the Federal Driver’s Privacy Protection Act, 18 U.S.C.S. </w:t>
      </w:r>
      <w:r>
        <w:rPr>
          <w:rFonts w:ascii="Arial" w:hAnsi="Arial" w:cs="Arial"/>
          <w:color w:val="000000"/>
        </w:rPr>
        <w:t>§</w:t>
      </w:r>
      <w:r>
        <w:rPr>
          <w:rFonts w:ascii="Arial" w:hAnsi="Arial"/>
          <w:color w:val="000000"/>
        </w:rPr>
        <w:t xml:space="preserve"> 2721.</w:t>
      </w:r>
    </w:p>
    <w:p w14:paraId="56C5570E" w14:textId="4446F38B" w:rsidR="00EA345F" w:rsidRDefault="00EA345F" w:rsidP="005978DE">
      <w:pPr>
        <w:numPr>
          <w:ilvl w:val="0"/>
          <w:numId w:val="1"/>
        </w:numPr>
        <w:tabs>
          <w:tab w:val="num" w:pos="1080"/>
        </w:tabs>
        <w:overflowPunct w:val="0"/>
        <w:autoSpaceDE w:val="0"/>
        <w:autoSpaceDN w:val="0"/>
        <w:adjustRightInd w:val="0"/>
        <w:spacing w:after="240"/>
        <w:jc w:val="both"/>
        <w:textAlignment w:val="baseline"/>
        <w:rPr>
          <w:rFonts w:ascii="Arial" w:hAnsi="Arial" w:cs="Arial"/>
        </w:rPr>
      </w:pPr>
      <w:r w:rsidRPr="006B3E31">
        <w:rPr>
          <w:rFonts w:ascii="Arial" w:hAnsi="Arial" w:cs="Arial"/>
          <w:b/>
        </w:rPr>
        <w:t xml:space="preserve">Policy: </w:t>
      </w:r>
      <w:r w:rsidR="00525315">
        <w:rPr>
          <w:rFonts w:ascii="Arial" w:hAnsi="Arial" w:cs="Arial"/>
        </w:rPr>
        <w:t>This</w:t>
      </w:r>
      <w:r w:rsidR="00A06F6E">
        <w:rPr>
          <w:rFonts w:ascii="Arial" w:hAnsi="Arial" w:cs="Arial"/>
        </w:rPr>
        <w:t xml:space="preserve"> </w:t>
      </w:r>
      <w:r w:rsidR="00983CD6">
        <w:rPr>
          <w:rFonts w:ascii="Arial" w:hAnsi="Arial" w:cs="Arial"/>
        </w:rPr>
        <w:t>agency</w:t>
      </w:r>
      <w:r>
        <w:rPr>
          <w:rFonts w:ascii="Arial" w:hAnsi="Arial" w:cs="Arial"/>
        </w:rPr>
        <w:t xml:space="preserve"> recognizes the right of drivers and other individuals to have thei</w:t>
      </w:r>
      <w:r w:rsidR="00D009E5">
        <w:rPr>
          <w:rFonts w:ascii="Arial" w:hAnsi="Arial" w:cs="Arial"/>
        </w:rPr>
        <w:t xml:space="preserve">r personal information retained by </w:t>
      </w:r>
      <w:r>
        <w:rPr>
          <w:rFonts w:ascii="Arial" w:hAnsi="Arial" w:cs="Arial"/>
        </w:rPr>
        <w:t>the state department of motor vehicles to remain private, unless that privacy interest is superseded by a legitimate law enforcement necessity.  The Agency recognizes that this right to privacy applies both to the obtaining of personal information by law enforcement officers, as well as the public disclosure thereof.</w:t>
      </w:r>
      <w:r w:rsidRPr="006B3E31">
        <w:rPr>
          <w:rFonts w:ascii="Arial" w:hAnsi="Arial" w:cs="Arial"/>
        </w:rPr>
        <w:t xml:space="preserve"> </w:t>
      </w:r>
      <w:r w:rsidR="00BD29C7">
        <w:rPr>
          <w:rFonts w:ascii="Arial" w:hAnsi="Arial" w:cs="Arial"/>
        </w:rPr>
        <w:t>I</w:t>
      </w:r>
      <w:r w:rsidRPr="006B3E31">
        <w:rPr>
          <w:rFonts w:ascii="Arial" w:hAnsi="Arial" w:cs="Arial"/>
        </w:rPr>
        <w:t xml:space="preserve">t is the policy of the </w:t>
      </w:r>
      <w:r>
        <w:rPr>
          <w:rFonts w:ascii="Arial" w:hAnsi="Arial" w:cs="Arial"/>
        </w:rPr>
        <w:t xml:space="preserve">Agency </w:t>
      </w:r>
      <w:r w:rsidRPr="006B3E31">
        <w:rPr>
          <w:rFonts w:ascii="Arial" w:hAnsi="Arial" w:cs="Arial"/>
        </w:rPr>
        <w:t xml:space="preserve">to ensure that its employees </w:t>
      </w:r>
      <w:r w:rsidR="00BD29C7">
        <w:rPr>
          <w:rFonts w:ascii="Arial" w:hAnsi="Arial" w:cs="Arial"/>
        </w:rPr>
        <w:t>obtain and/or disclose information derived from the state department of motor vehicles only when necessary to law enforcement functions.</w:t>
      </w:r>
      <w:r w:rsidRPr="006B3E31">
        <w:rPr>
          <w:rFonts w:ascii="Arial" w:hAnsi="Arial" w:cs="Arial"/>
        </w:rPr>
        <w:t xml:space="preserve">  </w:t>
      </w:r>
    </w:p>
    <w:p w14:paraId="6BA99138" w14:textId="77777777" w:rsidR="00EA345F" w:rsidRDefault="00EA345F" w:rsidP="005978DE">
      <w:pPr>
        <w:numPr>
          <w:ilvl w:val="0"/>
          <w:numId w:val="1"/>
        </w:numPr>
        <w:tabs>
          <w:tab w:val="num" w:pos="1080"/>
        </w:tabs>
        <w:overflowPunct w:val="0"/>
        <w:autoSpaceDE w:val="0"/>
        <w:autoSpaceDN w:val="0"/>
        <w:adjustRightInd w:val="0"/>
        <w:spacing w:after="240"/>
        <w:jc w:val="both"/>
        <w:textAlignment w:val="baseline"/>
        <w:rPr>
          <w:rFonts w:ascii="Arial" w:hAnsi="Arial" w:cs="Arial"/>
        </w:rPr>
      </w:pPr>
      <w:r>
        <w:rPr>
          <w:rFonts w:ascii="Arial" w:hAnsi="Arial" w:cs="Arial"/>
          <w:b/>
        </w:rPr>
        <w:t>Definitions:</w:t>
      </w:r>
      <w:r>
        <w:rPr>
          <w:rFonts w:ascii="Arial" w:hAnsi="Arial" w:cs="Arial"/>
        </w:rPr>
        <w:t xml:space="preserve"> </w:t>
      </w:r>
    </w:p>
    <w:p w14:paraId="63350914" w14:textId="77777777" w:rsidR="00DA618D" w:rsidRPr="00DA618D" w:rsidRDefault="00DA618D" w:rsidP="005978DE">
      <w:pPr>
        <w:numPr>
          <w:ilvl w:val="1"/>
          <w:numId w:val="1"/>
        </w:numPr>
        <w:tabs>
          <w:tab w:val="clear" w:pos="792"/>
          <w:tab w:val="left" w:pos="990"/>
          <w:tab w:val="left" w:pos="1170"/>
          <w:tab w:val="left" w:pos="1260"/>
        </w:tabs>
        <w:overflowPunct w:val="0"/>
        <w:autoSpaceDE w:val="0"/>
        <w:autoSpaceDN w:val="0"/>
        <w:adjustRightInd w:val="0"/>
        <w:spacing w:after="240"/>
        <w:ind w:left="990" w:hanging="540"/>
        <w:jc w:val="both"/>
        <w:textAlignment w:val="baseline"/>
      </w:pPr>
      <w:r w:rsidRPr="00DA618D">
        <w:rPr>
          <w:rFonts w:ascii="Arial" w:hAnsi="Arial" w:cs="Arial"/>
          <w:b/>
        </w:rPr>
        <w:t>Motor Vehicle Record</w:t>
      </w:r>
      <w:r>
        <w:rPr>
          <w:rFonts w:ascii="Arial" w:hAnsi="Arial" w:cs="Arial"/>
        </w:rPr>
        <w:t xml:space="preserve">:  </w:t>
      </w:r>
      <w:r w:rsidRPr="00DA618D">
        <w:rPr>
          <w:rFonts w:ascii="Arial" w:hAnsi="Arial" w:cs="Arial"/>
        </w:rPr>
        <w:t>Any record that pertains to a motor vehicle operator's permit, motor vehicle title, motor vehicle registration, or</w:t>
      </w:r>
      <w:r w:rsidR="005978DE">
        <w:rPr>
          <w:rFonts w:ascii="Arial" w:hAnsi="Arial" w:cs="Arial"/>
        </w:rPr>
        <w:t xml:space="preserve"> identification card issued by the state</w:t>
      </w:r>
      <w:r w:rsidRPr="00DA618D">
        <w:rPr>
          <w:rFonts w:ascii="Arial" w:hAnsi="Arial" w:cs="Arial"/>
        </w:rPr>
        <w:t xml:space="preserve"> department of motor vehicles</w:t>
      </w:r>
      <w:r>
        <w:rPr>
          <w:rFonts w:ascii="Arial" w:hAnsi="Arial" w:cs="Arial"/>
        </w:rPr>
        <w:t>.</w:t>
      </w:r>
    </w:p>
    <w:p w14:paraId="04AA284D" w14:textId="77777777" w:rsidR="00DA618D" w:rsidRPr="00DA618D" w:rsidRDefault="00DA618D" w:rsidP="005978DE">
      <w:pPr>
        <w:numPr>
          <w:ilvl w:val="1"/>
          <w:numId w:val="1"/>
        </w:numPr>
        <w:tabs>
          <w:tab w:val="clear" w:pos="792"/>
          <w:tab w:val="left" w:pos="990"/>
          <w:tab w:val="left" w:pos="1170"/>
          <w:tab w:val="left" w:pos="1260"/>
        </w:tabs>
        <w:overflowPunct w:val="0"/>
        <w:autoSpaceDE w:val="0"/>
        <w:autoSpaceDN w:val="0"/>
        <w:adjustRightInd w:val="0"/>
        <w:spacing w:after="240"/>
        <w:ind w:left="990" w:hanging="540"/>
        <w:jc w:val="both"/>
        <w:textAlignment w:val="baseline"/>
        <w:rPr>
          <w:rFonts w:ascii="Arial" w:hAnsi="Arial" w:cs="Arial"/>
        </w:rPr>
      </w:pPr>
      <w:r>
        <w:rPr>
          <w:rFonts w:ascii="Arial" w:hAnsi="Arial" w:cs="Arial"/>
          <w:b/>
        </w:rPr>
        <w:t>Person</w:t>
      </w:r>
      <w:r w:rsidRPr="00DA618D">
        <w:rPr>
          <w:rFonts w:ascii="Arial" w:hAnsi="Arial" w:cs="Arial"/>
        </w:rPr>
        <w:t>:</w:t>
      </w:r>
      <w:r>
        <w:rPr>
          <w:rFonts w:ascii="Arial" w:hAnsi="Arial" w:cs="Arial"/>
        </w:rPr>
        <w:t xml:space="preserve">  Any individual, organization or entity, not including a State or agency thereof.</w:t>
      </w:r>
      <w:r w:rsidR="008B11F2">
        <w:rPr>
          <w:rFonts w:ascii="Arial" w:hAnsi="Arial" w:cs="Arial"/>
        </w:rPr>
        <w:t xml:space="preserve">  This includes employees of the Agency.</w:t>
      </w:r>
    </w:p>
    <w:p w14:paraId="0ED8B1E5" w14:textId="77777777" w:rsidR="00EA345F" w:rsidRPr="00DA618D" w:rsidRDefault="00BD29C7" w:rsidP="005978DE">
      <w:pPr>
        <w:numPr>
          <w:ilvl w:val="1"/>
          <w:numId w:val="1"/>
        </w:numPr>
        <w:tabs>
          <w:tab w:val="clear" w:pos="792"/>
          <w:tab w:val="left" w:pos="990"/>
          <w:tab w:val="left" w:pos="1170"/>
          <w:tab w:val="left" w:pos="1260"/>
        </w:tabs>
        <w:overflowPunct w:val="0"/>
        <w:autoSpaceDE w:val="0"/>
        <w:autoSpaceDN w:val="0"/>
        <w:adjustRightInd w:val="0"/>
        <w:spacing w:after="240"/>
        <w:ind w:left="990" w:hanging="540"/>
        <w:jc w:val="both"/>
        <w:textAlignment w:val="baseline"/>
        <w:rPr>
          <w:rFonts w:ascii="Arial" w:hAnsi="Arial" w:cs="Arial"/>
        </w:rPr>
      </w:pPr>
      <w:r>
        <w:rPr>
          <w:rFonts w:ascii="Arial" w:hAnsi="Arial" w:cs="Arial"/>
          <w:b/>
        </w:rPr>
        <w:lastRenderedPageBreak/>
        <w:t>Personal Information</w:t>
      </w:r>
      <w:r w:rsidR="00DA618D">
        <w:rPr>
          <w:rFonts w:ascii="Arial" w:hAnsi="Arial" w:cs="Arial"/>
        </w:rPr>
        <w:t>:  I</w:t>
      </w:r>
      <w:r w:rsidR="00DA618D" w:rsidRPr="00DA618D">
        <w:rPr>
          <w:rFonts w:ascii="Arial" w:hAnsi="Arial" w:cs="Arial"/>
        </w:rPr>
        <w:t>nformation that identifies an individual, including an individual's photograph, social security number, driver identification number, name, address (but not the 5-digit zip code), telephone number, and medical or disability information, but does not include information on vehicular accidents, driving violations, and driver's status.</w:t>
      </w:r>
    </w:p>
    <w:p w14:paraId="2A2D6034" w14:textId="77777777" w:rsidR="00EA345F" w:rsidRDefault="00DA618D" w:rsidP="005978DE">
      <w:pPr>
        <w:numPr>
          <w:ilvl w:val="1"/>
          <w:numId w:val="1"/>
        </w:numPr>
        <w:tabs>
          <w:tab w:val="clear" w:pos="792"/>
          <w:tab w:val="left" w:pos="990"/>
          <w:tab w:val="left" w:pos="1170"/>
          <w:tab w:val="left" w:pos="1260"/>
        </w:tabs>
        <w:overflowPunct w:val="0"/>
        <w:autoSpaceDE w:val="0"/>
        <w:autoSpaceDN w:val="0"/>
        <w:adjustRightInd w:val="0"/>
        <w:spacing w:after="240"/>
        <w:ind w:left="990" w:hanging="540"/>
        <w:jc w:val="both"/>
        <w:textAlignment w:val="baseline"/>
        <w:rPr>
          <w:rFonts w:ascii="Arial" w:hAnsi="Arial" w:cs="Arial"/>
        </w:rPr>
      </w:pPr>
      <w:r>
        <w:rPr>
          <w:rFonts w:ascii="Arial" w:hAnsi="Arial" w:cs="Arial"/>
          <w:b/>
        </w:rPr>
        <w:t xml:space="preserve">Express Consent:  </w:t>
      </w:r>
      <w:r>
        <w:rPr>
          <w:rFonts w:ascii="Arial" w:hAnsi="Arial" w:cs="Arial"/>
        </w:rPr>
        <w:t>Consent in writing, including consent conveyed electronically that bears an electronic signature as defined in section 106(5) of Public Law 106-229 [15 U.S.C.S. § 7006(5).</w:t>
      </w:r>
    </w:p>
    <w:p w14:paraId="29D085B5" w14:textId="77777777" w:rsidR="00EA345F" w:rsidRPr="00162BFD" w:rsidRDefault="00EA345F" w:rsidP="005978DE">
      <w:pPr>
        <w:numPr>
          <w:ilvl w:val="0"/>
          <w:numId w:val="1"/>
        </w:numPr>
        <w:tabs>
          <w:tab w:val="num" w:pos="1080"/>
        </w:tabs>
        <w:overflowPunct w:val="0"/>
        <w:autoSpaceDE w:val="0"/>
        <w:autoSpaceDN w:val="0"/>
        <w:adjustRightInd w:val="0"/>
        <w:spacing w:after="240"/>
        <w:jc w:val="both"/>
        <w:textAlignment w:val="baseline"/>
        <w:rPr>
          <w:rFonts w:ascii="Arial" w:hAnsi="Arial" w:cs="Arial"/>
        </w:rPr>
      </w:pPr>
      <w:r w:rsidRPr="006B3E31">
        <w:rPr>
          <w:rFonts w:ascii="Arial" w:hAnsi="Arial" w:cs="Arial"/>
          <w:b/>
        </w:rPr>
        <w:t xml:space="preserve">Procedure:  </w:t>
      </w:r>
    </w:p>
    <w:p w14:paraId="3FA629ED" w14:textId="77777777" w:rsidR="00EA345F" w:rsidRPr="003262C4" w:rsidRDefault="00BD29C7" w:rsidP="005978DE">
      <w:pPr>
        <w:numPr>
          <w:ilvl w:val="1"/>
          <w:numId w:val="1"/>
        </w:numPr>
        <w:tabs>
          <w:tab w:val="clear" w:pos="792"/>
          <w:tab w:val="num" w:pos="990"/>
          <w:tab w:val="num" w:pos="1080"/>
        </w:tabs>
        <w:overflowPunct w:val="0"/>
        <w:autoSpaceDE w:val="0"/>
        <w:autoSpaceDN w:val="0"/>
        <w:adjustRightInd w:val="0"/>
        <w:spacing w:after="240"/>
        <w:ind w:left="990" w:hanging="540"/>
        <w:jc w:val="both"/>
        <w:textAlignment w:val="baseline"/>
        <w:rPr>
          <w:rFonts w:ascii="Arial" w:hAnsi="Arial" w:cs="Arial"/>
          <w:b/>
        </w:rPr>
      </w:pPr>
      <w:r>
        <w:rPr>
          <w:rFonts w:ascii="Arial" w:hAnsi="Arial" w:cs="Arial"/>
          <w:b/>
        </w:rPr>
        <w:t xml:space="preserve">Obtaining personal information </w:t>
      </w:r>
      <w:r w:rsidR="00C96639">
        <w:rPr>
          <w:rFonts w:ascii="Arial" w:hAnsi="Arial" w:cs="Arial"/>
          <w:b/>
        </w:rPr>
        <w:t>from the state department of motor veh</w:t>
      </w:r>
      <w:r w:rsidR="00DA618D">
        <w:rPr>
          <w:rFonts w:ascii="Arial" w:hAnsi="Arial" w:cs="Arial"/>
          <w:b/>
        </w:rPr>
        <w:t>icles</w:t>
      </w:r>
      <w:r w:rsidR="00EA345F" w:rsidRPr="003262C4">
        <w:rPr>
          <w:rFonts w:ascii="Arial" w:hAnsi="Arial" w:cs="Arial"/>
          <w:b/>
        </w:rPr>
        <w:t>:</w:t>
      </w:r>
    </w:p>
    <w:p w14:paraId="64A33346" w14:textId="77777777" w:rsidR="00EA345F" w:rsidRDefault="00DA618D" w:rsidP="005978DE">
      <w:pPr>
        <w:numPr>
          <w:ilvl w:val="2"/>
          <w:numId w:val="1"/>
        </w:numPr>
        <w:tabs>
          <w:tab w:val="clear" w:pos="1152"/>
          <w:tab w:val="num" w:pos="1440"/>
        </w:tabs>
        <w:overflowPunct w:val="0"/>
        <w:autoSpaceDE w:val="0"/>
        <w:autoSpaceDN w:val="0"/>
        <w:adjustRightInd w:val="0"/>
        <w:spacing w:after="240"/>
        <w:ind w:left="1440" w:hanging="450"/>
        <w:jc w:val="both"/>
        <w:textAlignment w:val="baseline"/>
        <w:rPr>
          <w:rFonts w:ascii="Arial" w:hAnsi="Arial" w:cs="Arial"/>
        </w:rPr>
      </w:pPr>
      <w:r>
        <w:rPr>
          <w:rFonts w:ascii="Arial" w:hAnsi="Arial" w:cs="Arial"/>
        </w:rPr>
        <w:t xml:space="preserve">Obtaining personal information from the state department of motor vehicles is prohibited unless </w:t>
      </w:r>
      <w:r w:rsidR="008B11F2">
        <w:rPr>
          <w:rFonts w:ascii="Arial" w:hAnsi="Arial" w:cs="Arial"/>
        </w:rPr>
        <w:t>doing so is necessary:</w:t>
      </w:r>
    </w:p>
    <w:p w14:paraId="63F2FDE3" w14:textId="77777777" w:rsidR="008B11F2" w:rsidRDefault="008B11F2" w:rsidP="005978DE">
      <w:pPr>
        <w:numPr>
          <w:ilvl w:val="3"/>
          <w:numId w:val="1"/>
        </w:numPr>
        <w:tabs>
          <w:tab w:val="num" w:pos="1440"/>
        </w:tabs>
        <w:overflowPunct w:val="0"/>
        <w:autoSpaceDE w:val="0"/>
        <w:autoSpaceDN w:val="0"/>
        <w:adjustRightInd w:val="0"/>
        <w:spacing w:after="240"/>
        <w:jc w:val="both"/>
        <w:textAlignment w:val="baseline"/>
        <w:rPr>
          <w:rFonts w:ascii="Arial" w:hAnsi="Arial" w:cs="Arial"/>
        </w:rPr>
      </w:pPr>
      <w:r>
        <w:rPr>
          <w:rFonts w:ascii="Arial" w:hAnsi="Arial" w:cs="Arial"/>
        </w:rPr>
        <w:t>To the carrying out of law enforcement functions, or</w:t>
      </w:r>
    </w:p>
    <w:p w14:paraId="7C02D829" w14:textId="77777777" w:rsidR="008B11F2" w:rsidRPr="008B11F2" w:rsidRDefault="008B11F2" w:rsidP="005978DE">
      <w:pPr>
        <w:numPr>
          <w:ilvl w:val="3"/>
          <w:numId w:val="1"/>
        </w:numPr>
        <w:tabs>
          <w:tab w:val="num" w:pos="1440"/>
        </w:tabs>
        <w:overflowPunct w:val="0"/>
        <w:autoSpaceDE w:val="0"/>
        <w:autoSpaceDN w:val="0"/>
        <w:adjustRightInd w:val="0"/>
        <w:spacing w:after="240"/>
        <w:jc w:val="both"/>
        <w:textAlignment w:val="baseline"/>
        <w:rPr>
          <w:rFonts w:ascii="Arial" w:hAnsi="Arial" w:cs="Arial"/>
        </w:rPr>
      </w:pPr>
      <w:r w:rsidRPr="008B11F2">
        <w:rPr>
          <w:rFonts w:ascii="Arial" w:hAnsi="Arial" w:cs="Arial"/>
        </w:rPr>
        <w:t>For use in connection with any civil, criminal, administrative, or arbitral proceeding in any Federal, State, or local court or agency or before any self-regulatory body, including the service of process, investigation in anticipation of litigation, and the execution or enforcement of judgments and orders, or pursuant to an order of a Federal, State, or local court</w:t>
      </w:r>
      <w:r>
        <w:rPr>
          <w:rFonts w:ascii="Arial" w:hAnsi="Arial" w:cs="Arial"/>
        </w:rPr>
        <w:t>.</w:t>
      </w:r>
    </w:p>
    <w:p w14:paraId="142B8FEA" w14:textId="77777777" w:rsidR="00EA345F" w:rsidRDefault="008B11F2" w:rsidP="005978DE">
      <w:pPr>
        <w:numPr>
          <w:ilvl w:val="2"/>
          <w:numId w:val="1"/>
        </w:numPr>
        <w:tabs>
          <w:tab w:val="clear" w:pos="1152"/>
          <w:tab w:val="num" w:pos="1440"/>
        </w:tabs>
        <w:overflowPunct w:val="0"/>
        <w:autoSpaceDE w:val="0"/>
        <w:autoSpaceDN w:val="0"/>
        <w:adjustRightInd w:val="0"/>
        <w:spacing w:after="240"/>
        <w:ind w:left="1440" w:hanging="450"/>
        <w:jc w:val="both"/>
        <w:textAlignment w:val="baseline"/>
        <w:rPr>
          <w:rFonts w:ascii="Arial" w:hAnsi="Arial" w:cs="Arial"/>
        </w:rPr>
      </w:pPr>
      <w:r>
        <w:rPr>
          <w:rFonts w:ascii="Arial" w:hAnsi="Arial" w:cs="Arial"/>
        </w:rPr>
        <w:t>All employees are expected to have an a</w:t>
      </w:r>
      <w:r w:rsidR="005978DE">
        <w:rPr>
          <w:rFonts w:ascii="Arial" w:hAnsi="Arial" w:cs="Arial"/>
        </w:rPr>
        <w:t xml:space="preserve">rticulable rationale for </w:t>
      </w:r>
      <w:r>
        <w:rPr>
          <w:rFonts w:ascii="Arial" w:hAnsi="Arial" w:cs="Arial"/>
        </w:rPr>
        <w:t>obtaining personal information from the state department of motor vehicles.</w:t>
      </w:r>
    </w:p>
    <w:p w14:paraId="663CB097" w14:textId="77777777" w:rsidR="000253CD" w:rsidRDefault="00C96639" w:rsidP="005978DE">
      <w:pPr>
        <w:pStyle w:val="ListParagraph"/>
        <w:numPr>
          <w:ilvl w:val="1"/>
          <w:numId w:val="1"/>
        </w:numPr>
        <w:spacing w:after="240"/>
        <w:rPr>
          <w:rFonts w:ascii="Arial" w:hAnsi="Arial" w:cs="Arial"/>
          <w:b/>
        </w:rPr>
      </w:pPr>
      <w:r w:rsidRPr="00C96639">
        <w:rPr>
          <w:rFonts w:ascii="Arial" w:hAnsi="Arial" w:cs="Arial"/>
          <w:b/>
        </w:rPr>
        <w:t>Public disclosure of personal information obtained from the state department of motor vehicles</w:t>
      </w:r>
      <w:r>
        <w:rPr>
          <w:rFonts w:ascii="Arial" w:hAnsi="Arial" w:cs="Arial"/>
          <w:b/>
        </w:rPr>
        <w:t>:</w:t>
      </w:r>
    </w:p>
    <w:p w14:paraId="414F6D9E" w14:textId="77777777" w:rsidR="005978DE" w:rsidRDefault="005978DE" w:rsidP="005978DE">
      <w:pPr>
        <w:pStyle w:val="ListParagraph"/>
        <w:spacing w:after="240"/>
        <w:ind w:left="792"/>
        <w:rPr>
          <w:rFonts w:ascii="Arial" w:hAnsi="Arial" w:cs="Arial"/>
          <w:b/>
        </w:rPr>
      </w:pPr>
    </w:p>
    <w:p w14:paraId="1F2D1B4B" w14:textId="77777777" w:rsidR="008B11F2" w:rsidRDefault="008B11F2" w:rsidP="005978DE">
      <w:pPr>
        <w:pStyle w:val="ListParagraph"/>
        <w:numPr>
          <w:ilvl w:val="2"/>
          <w:numId w:val="1"/>
        </w:numPr>
        <w:spacing w:after="240"/>
        <w:rPr>
          <w:rFonts w:ascii="Arial" w:hAnsi="Arial" w:cs="Arial"/>
        </w:rPr>
      </w:pPr>
      <w:r w:rsidRPr="008B11F2">
        <w:rPr>
          <w:rFonts w:ascii="Arial" w:hAnsi="Arial" w:cs="Arial"/>
        </w:rPr>
        <w:t>Public disclosure of personal information obtained from the state department of mot</w:t>
      </w:r>
      <w:r>
        <w:rPr>
          <w:rFonts w:ascii="Arial" w:hAnsi="Arial" w:cs="Arial"/>
        </w:rPr>
        <w:t xml:space="preserve">or vehicles is prohibited without the express consent </w:t>
      </w:r>
      <w:r w:rsidR="005978DE">
        <w:rPr>
          <w:rFonts w:ascii="Arial" w:hAnsi="Arial" w:cs="Arial"/>
        </w:rPr>
        <w:t xml:space="preserve">of the person or persons in question, </w:t>
      </w:r>
      <w:r>
        <w:rPr>
          <w:rFonts w:ascii="Arial" w:hAnsi="Arial" w:cs="Arial"/>
        </w:rPr>
        <w:t>unless doing so is necessary:</w:t>
      </w:r>
    </w:p>
    <w:p w14:paraId="207CDE5F" w14:textId="77777777" w:rsidR="008B11F2" w:rsidRDefault="008B11F2" w:rsidP="005978DE">
      <w:pPr>
        <w:numPr>
          <w:ilvl w:val="3"/>
          <w:numId w:val="1"/>
        </w:numPr>
        <w:tabs>
          <w:tab w:val="num" w:pos="1440"/>
        </w:tabs>
        <w:overflowPunct w:val="0"/>
        <w:autoSpaceDE w:val="0"/>
        <w:autoSpaceDN w:val="0"/>
        <w:adjustRightInd w:val="0"/>
        <w:spacing w:after="240"/>
        <w:jc w:val="both"/>
        <w:textAlignment w:val="baseline"/>
        <w:rPr>
          <w:rFonts w:ascii="Arial" w:hAnsi="Arial" w:cs="Arial"/>
        </w:rPr>
      </w:pPr>
      <w:r>
        <w:rPr>
          <w:rFonts w:ascii="Arial" w:hAnsi="Arial" w:cs="Arial"/>
        </w:rPr>
        <w:t>To the carrying out of law enforcement functions, or</w:t>
      </w:r>
    </w:p>
    <w:p w14:paraId="716B98FB" w14:textId="77777777" w:rsidR="008B11F2" w:rsidRDefault="008B11F2" w:rsidP="005978DE">
      <w:pPr>
        <w:numPr>
          <w:ilvl w:val="3"/>
          <w:numId w:val="1"/>
        </w:numPr>
        <w:tabs>
          <w:tab w:val="num" w:pos="1440"/>
        </w:tabs>
        <w:overflowPunct w:val="0"/>
        <w:autoSpaceDE w:val="0"/>
        <w:autoSpaceDN w:val="0"/>
        <w:adjustRightInd w:val="0"/>
        <w:spacing w:after="240"/>
        <w:jc w:val="both"/>
        <w:textAlignment w:val="baseline"/>
        <w:rPr>
          <w:rFonts w:ascii="Arial" w:hAnsi="Arial" w:cs="Arial"/>
        </w:rPr>
      </w:pPr>
      <w:r w:rsidRPr="008B11F2">
        <w:rPr>
          <w:rFonts w:ascii="Arial" w:hAnsi="Arial" w:cs="Arial"/>
        </w:rPr>
        <w:t>For use in connection with any civil, criminal, administrative, or arbitral proceeding in any Federal, State, or local court or agency or before any self-regulatory body, including the service of process, investigation in anticipation of litigation, and the execution or enforcement of judgments and orders, or pursuant to an order of a Federal, State, or local court</w:t>
      </w:r>
      <w:r>
        <w:rPr>
          <w:rFonts w:ascii="Arial" w:hAnsi="Arial" w:cs="Arial"/>
        </w:rPr>
        <w:t>.</w:t>
      </w:r>
    </w:p>
    <w:p w14:paraId="47D8D769" w14:textId="77777777" w:rsidR="00D346EE" w:rsidRDefault="008B11F2" w:rsidP="00D346EE">
      <w:pPr>
        <w:pStyle w:val="ListParagraph"/>
        <w:numPr>
          <w:ilvl w:val="2"/>
          <w:numId w:val="1"/>
        </w:numPr>
        <w:overflowPunct w:val="0"/>
        <w:autoSpaceDE w:val="0"/>
        <w:autoSpaceDN w:val="0"/>
        <w:adjustRightInd w:val="0"/>
        <w:spacing w:after="240"/>
        <w:jc w:val="both"/>
        <w:textAlignment w:val="baseline"/>
        <w:rPr>
          <w:rFonts w:ascii="Arial" w:hAnsi="Arial" w:cs="Arial"/>
        </w:rPr>
      </w:pPr>
      <w:r>
        <w:rPr>
          <w:rFonts w:ascii="Arial" w:hAnsi="Arial" w:cs="Arial"/>
        </w:rPr>
        <w:t xml:space="preserve">When police records are requested without the express consent of the </w:t>
      </w:r>
      <w:r w:rsidR="005978DE">
        <w:rPr>
          <w:rFonts w:ascii="Arial" w:hAnsi="Arial" w:cs="Arial"/>
        </w:rPr>
        <w:t xml:space="preserve">person or </w:t>
      </w:r>
      <w:r>
        <w:rPr>
          <w:rFonts w:ascii="Arial" w:hAnsi="Arial" w:cs="Arial"/>
        </w:rPr>
        <w:t>persons named therein</w:t>
      </w:r>
      <w:r w:rsidR="00D009E5">
        <w:rPr>
          <w:rFonts w:ascii="Arial" w:hAnsi="Arial" w:cs="Arial"/>
        </w:rPr>
        <w:t xml:space="preserve">, personal information as defined by Section III(C) </w:t>
      </w:r>
      <w:r w:rsidR="005978DE">
        <w:rPr>
          <w:rFonts w:ascii="Arial" w:hAnsi="Arial" w:cs="Arial"/>
        </w:rPr>
        <w:t xml:space="preserve">of this policy </w:t>
      </w:r>
      <w:r w:rsidR="00D009E5">
        <w:rPr>
          <w:rFonts w:ascii="Arial" w:hAnsi="Arial" w:cs="Arial"/>
        </w:rPr>
        <w:t>shall be removed prior to disclosure.</w:t>
      </w:r>
    </w:p>
    <w:p w14:paraId="64CCA54B" w14:textId="77777777" w:rsidR="00D346EE" w:rsidRPr="00D346EE" w:rsidRDefault="00D346EE" w:rsidP="00D346EE">
      <w:pPr>
        <w:pStyle w:val="ListParagraph"/>
        <w:overflowPunct w:val="0"/>
        <w:autoSpaceDE w:val="0"/>
        <w:autoSpaceDN w:val="0"/>
        <w:adjustRightInd w:val="0"/>
        <w:spacing w:after="240"/>
        <w:ind w:left="1152"/>
        <w:jc w:val="both"/>
        <w:textAlignment w:val="baseline"/>
        <w:rPr>
          <w:rFonts w:ascii="Arial" w:hAnsi="Arial" w:cs="Arial"/>
        </w:rPr>
      </w:pPr>
    </w:p>
    <w:p w14:paraId="19EE1965" w14:textId="77777777" w:rsidR="00087811" w:rsidRPr="008B11F2" w:rsidRDefault="00087811" w:rsidP="005978DE">
      <w:pPr>
        <w:pStyle w:val="ListParagraph"/>
        <w:numPr>
          <w:ilvl w:val="2"/>
          <w:numId w:val="1"/>
        </w:numPr>
        <w:overflowPunct w:val="0"/>
        <w:autoSpaceDE w:val="0"/>
        <w:autoSpaceDN w:val="0"/>
        <w:adjustRightInd w:val="0"/>
        <w:spacing w:after="240"/>
        <w:jc w:val="both"/>
        <w:textAlignment w:val="baseline"/>
        <w:rPr>
          <w:rFonts w:ascii="Arial" w:hAnsi="Arial" w:cs="Arial"/>
        </w:rPr>
      </w:pPr>
      <w:r>
        <w:rPr>
          <w:rFonts w:ascii="Arial" w:hAnsi="Arial" w:cs="Arial"/>
        </w:rPr>
        <w:lastRenderedPageBreak/>
        <w:t>Public disclosures include, but are by no means limited to, parking tickets and other citations which are place</w:t>
      </w:r>
      <w:r w:rsidR="005978DE">
        <w:rPr>
          <w:rFonts w:ascii="Arial" w:hAnsi="Arial" w:cs="Arial"/>
        </w:rPr>
        <w:t>d</w:t>
      </w:r>
      <w:r>
        <w:rPr>
          <w:rFonts w:ascii="Arial" w:hAnsi="Arial" w:cs="Arial"/>
        </w:rPr>
        <w:t xml:space="preserve"> in public view.</w:t>
      </w:r>
    </w:p>
    <w:p w14:paraId="5E5107CA" w14:textId="77777777" w:rsidR="008B11F2" w:rsidRPr="008B11F2" w:rsidRDefault="008B11F2" w:rsidP="008B11F2">
      <w:pPr>
        <w:pStyle w:val="ListParagraph"/>
        <w:ind w:left="1512"/>
        <w:rPr>
          <w:rFonts w:ascii="Arial" w:hAnsi="Arial" w:cs="Arial"/>
        </w:rPr>
      </w:pPr>
    </w:p>
    <w:sectPr w:rsidR="008B11F2" w:rsidRPr="008B11F2" w:rsidSect="002C6986">
      <w:footerReference w:type="even" r:id="rId9"/>
      <w:footerReference w:type="default" r:id="rId10"/>
      <w:pgSz w:w="12240" w:h="15840" w:code="1"/>
      <w:pgMar w:top="1008" w:right="1152" w:bottom="1008" w:left="1152" w:header="720" w:footer="8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9E7AB" w14:textId="77777777" w:rsidR="00D555E2" w:rsidRDefault="00D555E2" w:rsidP="00087811">
      <w:r>
        <w:separator/>
      </w:r>
    </w:p>
  </w:endnote>
  <w:endnote w:type="continuationSeparator" w:id="0">
    <w:p w14:paraId="6A452637" w14:textId="77777777" w:rsidR="00D555E2" w:rsidRDefault="00D555E2" w:rsidP="00087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E2A66" w14:textId="77777777" w:rsidR="00C51C4F" w:rsidRDefault="00D346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ED86E9" w14:textId="77777777" w:rsidR="00C51C4F" w:rsidRDefault="00D555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0A00A" w14:textId="77777777" w:rsidR="00C51C4F" w:rsidRDefault="00D346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004D">
      <w:rPr>
        <w:rStyle w:val="PageNumber"/>
        <w:noProof/>
      </w:rPr>
      <w:t>3</w:t>
    </w:r>
    <w:r>
      <w:rPr>
        <w:rStyle w:val="PageNumber"/>
      </w:rPr>
      <w:fldChar w:fldCharType="end"/>
    </w:r>
  </w:p>
  <w:p w14:paraId="79B85820" w14:textId="77777777" w:rsidR="002C6986" w:rsidRDefault="00D555E2">
    <w:pPr>
      <w:pStyle w:val="Footer"/>
      <w:ind w:right="360"/>
      <w:jc w:val="center"/>
      <w:rPr>
        <w:sz w:val="20"/>
        <w:szCs w:val="20"/>
      </w:rPr>
    </w:pPr>
  </w:p>
  <w:p w14:paraId="3019C22E" w14:textId="576CA608" w:rsidR="00C51C4F" w:rsidRDefault="00852D2F">
    <w:pPr>
      <w:pStyle w:val="Footer"/>
      <w:ind w:right="360"/>
      <w:jc w:val="center"/>
      <w:rPr>
        <w:sz w:val="20"/>
        <w:szCs w:val="20"/>
      </w:rPr>
    </w:pPr>
    <w:r>
      <w:rPr>
        <w:sz w:val="20"/>
        <w:szCs w:val="20"/>
      </w:rPr>
      <w:t>©20</w:t>
    </w:r>
    <w:r w:rsidR="00983CD6">
      <w:rPr>
        <w:sz w:val="20"/>
        <w:szCs w:val="20"/>
      </w:rPr>
      <w:t>2</w:t>
    </w:r>
    <w:r w:rsidR="006448B0">
      <w:rPr>
        <w:sz w:val="20"/>
        <w:szCs w:val="20"/>
      </w:rPr>
      <w:t>1</w:t>
    </w:r>
    <w:r w:rsidR="00D346EE">
      <w:rPr>
        <w:sz w:val="20"/>
        <w:szCs w:val="20"/>
      </w:rPr>
      <w:t xml:space="preserve"> Legal &amp; Liability Risk Management Institute.</w:t>
    </w:r>
  </w:p>
  <w:p w14:paraId="673B309B" w14:textId="77777777" w:rsidR="00A06F6E" w:rsidRPr="00A06F6E" w:rsidRDefault="00A06F6E" w:rsidP="00A06F6E">
    <w:pPr>
      <w:tabs>
        <w:tab w:val="center" w:pos="4320"/>
        <w:tab w:val="right" w:pos="8640"/>
      </w:tabs>
      <w:ind w:right="360"/>
      <w:jc w:val="center"/>
      <w:rPr>
        <w:sz w:val="20"/>
        <w:szCs w:val="20"/>
      </w:rPr>
    </w:pPr>
    <w:r w:rsidRPr="00A06F6E">
      <w:rPr>
        <w:sz w:val="20"/>
        <w:szCs w:val="20"/>
      </w:rPr>
      <w:t>Reprinting of this document is prohibited without license from LLRMI.</w:t>
    </w:r>
  </w:p>
  <w:p w14:paraId="64C4989A" w14:textId="77777777" w:rsidR="00A06F6E" w:rsidRPr="00A06F6E" w:rsidRDefault="00A06F6E" w:rsidP="00A06F6E">
    <w:pPr>
      <w:tabs>
        <w:tab w:val="center" w:pos="4320"/>
        <w:tab w:val="right" w:pos="8640"/>
      </w:tabs>
      <w:ind w:right="360"/>
      <w:jc w:val="center"/>
      <w:rPr>
        <w:sz w:val="20"/>
        <w:szCs w:val="20"/>
      </w:rPr>
    </w:pPr>
    <w:r w:rsidRPr="00A06F6E">
      <w:rPr>
        <w:sz w:val="20"/>
        <w:szCs w:val="20"/>
      </w:rPr>
      <w:t>http://www.llrmi.com</w:t>
    </w:r>
  </w:p>
  <w:p w14:paraId="651F342B" w14:textId="77777777" w:rsidR="00C51C4F" w:rsidRDefault="00D555E2">
    <w:pPr>
      <w:pStyle w:val="Footer"/>
      <w:ind w:right="360"/>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4AF2D" w14:textId="77777777" w:rsidR="00D555E2" w:rsidRDefault="00D555E2" w:rsidP="00087811">
      <w:r>
        <w:separator/>
      </w:r>
    </w:p>
  </w:footnote>
  <w:footnote w:type="continuationSeparator" w:id="0">
    <w:p w14:paraId="3BE966E9" w14:textId="77777777" w:rsidR="00D555E2" w:rsidRDefault="00D555E2" w:rsidP="000878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9128D3"/>
    <w:multiLevelType w:val="multilevel"/>
    <w:tmpl w:val="7C484B0E"/>
    <w:lvl w:ilvl="0">
      <w:start w:val="1"/>
      <w:numFmt w:val="upperRoman"/>
      <w:lvlText w:val="%1."/>
      <w:lvlJc w:val="left"/>
      <w:pPr>
        <w:tabs>
          <w:tab w:val="num" w:pos="432"/>
        </w:tabs>
        <w:ind w:left="432" w:hanging="432"/>
      </w:pPr>
      <w:rPr>
        <w:rFonts w:hint="default"/>
        <w:b/>
      </w:rPr>
    </w:lvl>
    <w:lvl w:ilvl="1">
      <w:start w:val="1"/>
      <w:numFmt w:val="upperLetter"/>
      <w:lvlText w:val="%2."/>
      <w:lvlJc w:val="left"/>
      <w:pPr>
        <w:tabs>
          <w:tab w:val="num" w:pos="792"/>
        </w:tabs>
        <w:ind w:left="792" w:hanging="432"/>
      </w:pPr>
      <w:rPr>
        <w:rFonts w:hint="default"/>
        <w:b/>
      </w:rPr>
    </w:lvl>
    <w:lvl w:ilvl="2">
      <w:start w:val="1"/>
      <w:numFmt w:val="lowerLetter"/>
      <w:lvlText w:val="%3."/>
      <w:lvlJc w:val="left"/>
      <w:pPr>
        <w:tabs>
          <w:tab w:val="num" w:pos="1152"/>
        </w:tabs>
        <w:ind w:left="1152" w:hanging="432"/>
      </w:pPr>
      <w:rPr>
        <w:rFonts w:hint="default"/>
        <w:b/>
      </w:rPr>
    </w:lvl>
    <w:lvl w:ilvl="3">
      <w:start w:val="1"/>
      <w:numFmt w:val="lowerRoman"/>
      <w:lvlText w:val="%4."/>
      <w:lvlJc w:val="left"/>
      <w:pPr>
        <w:tabs>
          <w:tab w:val="num" w:pos="1512"/>
        </w:tabs>
        <w:ind w:left="1512" w:hanging="432"/>
      </w:pPr>
      <w:rPr>
        <w:rFonts w:hint="default"/>
      </w:rPr>
    </w:lvl>
    <w:lvl w:ilvl="4">
      <w:start w:val="1"/>
      <w:numFmt w:val="lowerLetter"/>
      <w:lvlText w:val="(%5)"/>
      <w:lvlJc w:val="left"/>
      <w:pPr>
        <w:tabs>
          <w:tab w:val="num" w:pos="1872"/>
        </w:tabs>
        <w:ind w:left="1872" w:hanging="432"/>
      </w:pPr>
      <w:rPr>
        <w:rFonts w:hint="default"/>
      </w:rPr>
    </w:lvl>
    <w:lvl w:ilvl="5">
      <w:start w:val="1"/>
      <w:numFmt w:val="lowerRoman"/>
      <w:lvlText w:val="(%6)"/>
      <w:lvlJc w:val="left"/>
      <w:pPr>
        <w:tabs>
          <w:tab w:val="num" w:pos="2232"/>
        </w:tabs>
        <w:ind w:left="2592" w:hanging="792"/>
      </w:pPr>
      <w:rPr>
        <w:rFonts w:hint="default"/>
      </w:rPr>
    </w:lvl>
    <w:lvl w:ilvl="6">
      <w:start w:val="1"/>
      <w:numFmt w:val="bullet"/>
      <w:lvlRestart w:val="0"/>
      <w:lvlText w:val=""/>
      <w:lvlJc w:val="left"/>
      <w:pPr>
        <w:tabs>
          <w:tab w:val="num" w:pos="2592"/>
        </w:tabs>
        <w:ind w:left="2592" w:hanging="432"/>
      </w:pPr>
      <w:rPr>
        <w:rFonts w:ascii="Symbol" w:hAnsi="Symbol"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345F"/>
    <w:rsid w:val="000253CD"/>
    <w:rsid w:val="00077C06"/>
    <w:rsid w:val="00087811"/>
    <w:rsid w:val="000C6EF7"/>
    <w:rsid w:val="0013004D"/>
    <w:rsid w:val="003C62F6"/>
    <w:rsid w:val="004001E8"/>
    <w:rsid w:val="00455C95"/>
    <w:rsid w:val="00525315"/>
    <w:rsid w:val="00575F21"/>
    <w:rsid w:val="005978DE"/>
    <w:rsid w:val="005D04F4"/>
    <w:rsid w:val="006448B0"/>
    <w:rsid w:val="00785B5C"/>
    <w:rsid w:val="00852D2F"/>
    <w:rsid w:val="00874D7A"/>
    <w:rsid w:val="008B11F2"/>
    <w:rsid w:val="00983CD6"/>
    <w:rsid w:val="00A06F6E"/>
    <w:rsid w:val="00A12B20"/>
    <w:rsid w:val="00BD29C7"/>
    <w:rsid w:val="00C96639"/>
    <w:rsid w:val="00D009E5"/>
    <w:rsid w:val="00D346EE"/>
    <w:rsid w:val="00D555E2"/>
    <w:rsid w:val="00DA618D"/>
    <w:rsid w:val="00E87699"/>
    <w:rsid w:val="00EA345F"/>
    <w:rsid w:val="00F86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A6D84"/>
  <w15:docId w15:val="{70B8648B-B68A-4E24-A9E3-5E566A9B4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45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A345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345F"/>
    <w:rPr>
      <w:rFonts w:ascii="Arial" w:eastAsia="Times New Roman" w:hAnsi="Arial" w:cs="Arial"/>
      <w:b/>
      <w:bCs/>
      <w:kern w:val="32"/>
      <w:sz w:val="32"/>
      <w:szCs w:val="32"/>
    </w:rPr>
  </w:style>
  <w:style w:type="paragraph" w:styleId="Footer">
    <w:name w:val="footer"/>
    <w:basedOn w:val="Normal"/>
    <w:link w:val="FooterChar"/>
    <w:rsid w:val="00EA345F"/>
    <w:pPr>
      <w:tabs>
        <w:tab w:val="center" w:pos="4320"/>
        <w:tab w:val="right" w:pos="8640"/>
      </w:tabs>
    </w:pPr>
  </w:style>
  <w:style w:type="character" w:customStyle="1" w:styleId="FooterChar">
    <w:name w:val="Footer Char"/>
    <w:basedOn w:val="DefaultParagraphFont"/>
    <w:link w:val="Footer"/>
    <w:rsid w:val="00EA345F"/>
    <w:rPr>
      <w:rFonts w:ascii="Times New Roman" w:eastAsia="Times New Roman" w:hAnsi="Times New Roman" w:cs="Times New Roman"/>
      <w:sz w:val="24"/>
      <w:szCs w:val="24"/>
    </w:rPr>
  </w:style>
  <w:style w:type="character" w:styleId="PageNumber">
    <w:name w:val="page number"/>
    <w:basedOn w:val="DefaultParagraphFont"/>
    <w:rsid w:val="00EA345F"/>
  </w:style>
  <w:style w:type="paragraph" w:styleId="Header">
    <w:name w:val="header"/>
    <w:basedOn w:val="Normal"/>
    <w:link w:val="HeaderChar"/>
    <w:rsid w:val="00EA345F"/>
    <w:pPr>
      <w:tabs>
        <w:tab w:val="center" w:pos="4320"/>
        <w:tab w:val="right" w:pos="8640"/>
      </w:tabs>
    </w:pPr>
  </w:style>
  <w:style w:type="character" w:customStyle="1" w:styleId="HeaderChar">
    <w:name w:val="Header Char"/>
    <w:basedOn w:val="DefaultParagraphFont"/>
    <w:link w:val="Header"/>
    <w:rsid w:val="00EA345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A345F"/>
    <w:rPr>
      <w:rFonts w:ascii="Tahoma" w:hAnsi="Tahoma" w:cs="Tahoma"/>
      <w:sz w:val="16"/>
      <w:szCs w:val="16"/>
    </w:rPr>
  </w:style>
  <w:style w:type="character" w:customStyle="1" w:styleId="BalloonTextChar">
    <w:name w:val="Balloon Text Char"/>
    <w:basedOn w:val="DefaultParagraphFont"/>
    <w:link w:val="BalloonText"/>
    <w:uiPriority w:val="99"/>
    <w:semiHidden/>
    <w:rsid w:val="00EA345F"/>
    <w:rPr>
      <w:rFonts w:ascii="Tahoma" w:eastAsia="Times New Roman" w:hAnsi="Tahoma" w:cs="Tahoma"/>
      <w:sz w:val="16"/>
      <w:szCs w:val="16"/>
    </w:rPr>
  </w:style>
  <w:style w:type="paragraph" w:styleId="ListParagraph">
    <w:name w:val="List Paragraph"/>
    <w:basedOn w:val="Normal"/>
    <w:uiPriority w:val="34"/>
    <w:qFormat/>
    <w:rsid w:val="00C966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3</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Dolan</dc:creator>
  <cp:lastModifiedBy>Owner</cp:lastModifiedBy>
  <cp:revision>13</cp:revision>
  <cp:lastPrinted>2013-07-24T18:32:00Z</cp:lastPrinted>
  <dcterms:created xsi:type="dcterms:W3CDTF">2013-07-24T15:45:00Z</dcterms:created>
  <dcterms:modified xsi:type="dcterms:W3CDTF">2021-03-14T19:15:00Z</dcterms:modified>
</cp:coreProperties>
</file>