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BC7" w:rsidRPr="00023B66" w:rsidRDefault="00DD5BC7" w:rsidP="001846FC">
      <w:pPr>
        <w:pStyle w:val="Heading3"/>
        <w:spacing w:line="360" w:lineRule="auto"/>
        <w:rPr>
          <w:rFonts w:ascii="Avenir" w:hAnsi="Avenir"/>
          <w:sz w:val="24"/>
        </w:rPr>
      </w:pPr>
      <w:r w:rsidRPr="00023B66">
        <w:rPr>
          <w:rFonts w:ascii="Avenir" w:hAnsi="Avenir"/>
          <w:sz w:val="24"/>
        </w:rPr>
        <w:t>PURPOSE</w:t>
      </w:r>
    </w:p>
    <w:p w:rsidR="00DD5BC7" w:rsidRPr="00983F41" w:rsidRDefault="00DD5BC7" w:rsidP="00DD5BC7">
      <w:pPr>
        <w:rPr>
          <w:rFonts w:ascii="Georgia" w:hAnsi="Georgia"/>
        </w:rPr>
      </w:pPr>
      <w:r w:rsidRPr="00983F41">
        <w:rPr>
          <w:rFonts w:ascii="Georgia" w:hAnsi="Georgia"/>
        </w:rPr>
        <w:t>To define the process for completion of the 60-day summary of patient care.</w:t>
      </w:r>
    </w:p>
    <w:p w:rsidR="00DD5BC7" w:rsidRPr="00023B66" w:rsidRDefault="00DD5BC7" w:rsidP="001846FC">
      <w:pPr>
        <w:pStyle w:val="Heading3"/>
        <w:spacing w:line="360" w:lineRule="auto"/>
        <w:rPr>
          <w:rFonts w:ascii="Avenir" w:hAnsi="Avenir"/>
          <w:sz w:val="24"/>
        </w:rPr>
      </w:pPr>
      <w:r w:rsidRPr="00023B66">
        <w:rPr>
          <w:rFonts w:ascii="Avenir" w:hAnsi="Avenir"/>
          <w:sz w:val="24"/>
        </w:rPr>
        <w:t>POLICY</w:t>
      </w:r>
    </w:p>
    <w:p w:rsidR="00DD5BC7" w:rsidRPr="00983F41" w:rsidRDefault="00DD5BC7" w:rsidP="00DD5BC7">
      <w:pPr>
        <w:rPr>
          <w:rFonts w:ascii="Georgia" w:hAnsi="Georgia"/>
        </w:rPr>
      </w:pPr>
      <w:r w:rsidRPr="00983F41">
        <w:rPr>
          <w:rFonts w:ascii="Georgia" w:hAnsi="Georgia"/>
        </w:rPr>
        <w:t>A 60-day summary will be completed for each patient at the end of the episode when the patient will be recertified.  The summary will be forwarded to all physicians involved in the patient’s care.</w:t>
      </w:r>
    </w:p>
    <w:p w:rsidR="00DD5BC7" w:rsidRPr="00023B66" w:rsidRDefault="00DD5BC7" w:rsidP="001846FC">
      <w:pPr>
        <w:pStyle w:val="Heading3"/>
        <w:spacing w:line="360" w:lineRule="auto"/>
        <w:rPr>
          <w:rFonts w:ascii="Avenir" w:hAnsi="Avenir"/>
          <w:sz w:val="24"/>
        </w:rPr>
      </w:pPr>
      <w:r w:rsidRPr="00023B66">
        <w:rPr>
          <w:rFonts w:ascii="Avenir" w:hAnsi="Avenir"/>
          <w:sz w:val="24"/>
        </w:rPr>
        <w:t>PROCEDURE</w:t>
      </w:r>
    </w:p>
    <w:p w:rsidR="00DD5BC7" w:rsidRDefault="00DD5BC7" w:rsidP="00DD5BC7">
      <w:pPr>
        <w:pStyle w:val="BodyTextIndent"/>
        <w:numPr>
          <w:ilvl w:val="0"/>
          <w:numId w:val="12"/>
        </w:numPr>
        <w:tabs>
          <w:tab w:val="clear" w:pos="720"/>
        </w:tabs>
        <w:ind w:left="432" w:hanging="432"/>
        <w:rPr>
          <w:rFonts w:ascii="Georgia" w:hAnsi="Georgia"/>
        </w:rPr>
      </w:pPr>
      <w:r w:rsidRPr="00983F41">
        <w:rPr>
          <w:rFonts w:ascii="Georgia" w:hAnsi="Georgia"/>
        </w:rPr>
        <w:t>Upon determination that a patient requires ongoing care and will be recertified for an additional episode of care, the patient’s Case Manager will complete a 60-day summary.</w:t>
      </w:r>
    </w:p>
    <w:p w:rsidR="00DD5BC7" w:rsidRPr="00983F41" w:rsidRDefault="00DD5BC7" w:rsidP="00DD5BC7">
      <w:pPr>
        <w:pStyle w:val="BodyTextIndent"/>
        <w:numPr>
          <w:ilvl w:val="0"/>
          <w:numId w:val="12"/>
        </w:numPr>
        <w:tabs>
          <w:tab w:val="clear" w:pos="720"/>
        </w:tabs>
        <w:ind w:left="432" w:hanging="432"/>
        <w:rPr>
          <w:rFonts w:ascii="Georgia" w:hAnsi="Georgia"/>
        </w:rPr>
      </w:pPr>
      <w:r w:rsidRPr="00983F41">
        <w:rPr>
          <w:rFonts w:ascii="Georgia" w:hAnsi="Georgia"/>
        </w:rPr>
        <w:t>Information required in the 60-day summary report to the physician may include:</w:t>
      </w:r>
    </w:p>
    <w:p w:rsidR="00DD5BC7" w:rsidRPr="00983F41" w:rsidRDefault="00DD5BC7" w:rsidP="00DD5BC7">
      <w:pPr>
        <w:pStyle w:val="BodyTextIndent2"/>
        <w:numPr>
          <w:ilvl w:val="1"/>
          <w:numId w:val="12"/>
        </w:numPr>
        <w:tabs>
          <w:tab w:val="clear" w:pos="1515"/>
        </w:tabs>
        <w:ind w:left="864" w:hanging="432"/>
        <w:rPr>
          <w:rFonts w:ascii="Georgia" w:hAnsi="Georgia"/>
        </w:rPr>
      </w:pPr>
      <w:r w:rsidRPr="00983F41">
        <w:rPr>
          <w:rFonts w:ascii="Georgia" w:hAnsi="Georgia"/>
        </w:rPr>
        <w:t>Reason for admission or last recertification, as applicable</w:t>
      </w:r>
    </w:p>
    <w:p w:rsidR="00DD5BC7" w:rsidRPr="00983F41" w:rsidRDefault="00DD5BC7" w:rsidP="00DD5BC7">
      <w:pPr>
        <w:pStyle w:val="BodyTextIndent2"/>
        <w:numPr>
          <w:ilvl w:val="1"/>
          <w:numId w:val="12"/>
        </w:numPr>
        <w:tabs>
          <w:tab w:val="clear" w:pos="1515"/>
        </w:tabs>
        <w:ind w:left="864" w:hanging="432"/>
        <w:rPr>
          <w:rFonts w:ascii="Georgia" w:hAnsi="Georgia"/>
        </w:rPr>
      </w:pPr>
      <w:r w:rsidRPr="00983F41">
        <w:rPr>
          <w:rFonts w:ascii="Georgia" w:hAnsi="Georgia"/>
        </w:rPr>
        <w:t xml:space="preserve">A summary of care and treatments/procedures provided </w:t>
      </w:r>
    </w:p>
    <w:p w:rsidR="00DD5BC7" w:rsidRPr="00983F41" w:rsidRDefault="00DD5BC7" w:rsidP="00DD5BC7">
      <w:pPr>
        <w:pStyle w:val="BodyTextIndent2"/>
        <w:numPr>
          <w:ilvl w:val="1"/>
          <w:numId w:val="12"/>
        </w:numPr>
        <w:tabs>
          <w:tab w:val="clear" w:pos="1515"/>
        </w:tabs>
        <w:ind w:left="864" w:hanging="432"/>
        <w:rPr>
          <w:rFonts w:ascii="Georgia" w:hAnsi="Georgia"/>
        </w:rPr>
      </w:pPr>
      <w:r w:rsidRPr="00983F41">
        <w:rPr>
          <w:rFonts w:ascii="Georgia" w:hAnsi="Georgia"/>
        </w:rPr>
        <w:t>A summary of the patient’s response to treatment</w:t>
      </w:r>
    </w:p>
    <w:p w:rsidR="00DD5BC7" w:rsidRPr="00983F41" w:rsidRDefault="00DD5BC7" w:rsidP="00DD5BC7">
      <w:pPr>
        <w:pStyle w:val="BodyTextIndent2"/>
        <w:numPr>
          <w:ilvl w:val="1"/>
          <w:numId w:val="12"/>
        </w:numPr>
        <w:tabs>
          <w:tab w:val="clear" w:pos="1515"/>
        </w:tabs>
        <w:ind w:left="864" w:hanging="432"/>
        <w:rPr>
          <w:rFonts w:ascii="Georgia" w:hAnsi="Georgia"/>
        </w:rPr>
      </w:pPr>
      <w:r w:rsidRPr="00983F41">
        <w:rPr>
          <w:rFonts w:ascii="Georgia" w:hAnsi="Georgia"/>
        </w:rPr>
        <w:t>A summary of changes to the plan of care</w:t>
      </w:r>
    </w:p>
    <w:p w:rsidR="00DD5BC7" w:rsidRDefault="00DD5BC7" w:rsidP="00DD5BC7">
      <w:pPr>
        <w:pStyle w:val="BodyTextIndent2"/>
        <w:numPr>
          <w:ilvl w:val="1"/>
          <w:numId w:val="12"/>
        </w:numPr>
        <w:tabs>
          <w:tab w:val="clear" w:pos="1515"/>
        </w:tabs>
        <w:ind w:left="864" w:hanging="432"/>
        <w:rPr>
          <w:rFonts w:ascii="Georgia" w:hAnsi="Georgia"/>
        </w:rPr>
      </w:pPr>
      <w:r w:rsidRPr="00983F41">
        <w:rPr>
          <w:rFonts w:ascii="Georgia" w:hAnsi="Georgia"/>
        </w:rPr>
        <w:t>Why recertification for ongoing care is necessary</w:t>
      </w:r>
    </w:p>
    <w:p w:rsidR="00DD5BC7" w:rsidRPr="00983F41" w:rsidRDefault="00DD5BC7" w:rsidP="00DD5BC7">
      <w:pPr>
        <w:pStyle w:val="BodyTextIndent"/>
        <w:numPr>
          <w:ilvl w:val="0"/>
          <w:numId w:val="12"/>
        </w:numPr>
        <w:tabs>
          <w:tab w:val="clear" w:pos="720"/>
        </w:tabs>
        <w:ind w:left="432" w:hanging="432"/>
        <w:rPr>
          <w:rFonts w:ascii="Georgia" w:hAnsi="Georgia"/>
        </w:rPr>
      </w:pPr>
      <w:r w:rsidRPr="00983F41">
        <w:rPr>
          <w:rFonts w:ascii="Georgia" w:hAnsi="Georgia"/>
        </w:rPr>
        <w:t>A copy of the 60-day summary report will be retained in the clinical record.</w:t>
      </w:r>
    </w:p>
    <w:p w:rsidR="007D240F" w:rsidRPr="00FF3A52" w:rsidRDefault="007D240F" w:rsidP="00FF3A52">
      <w:bookmarkStart w:id="0" w:name="_GoBack"/>
      <w:bookmarkEnd w:id="0"/>
    </w:p>
    <w:sectPr w:rsidR="007D240F" w:rsidRPr="00FF3A52" w:rsidSect="0064513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313" w:rsidRDefault="00143313" w:rsidP="00004886">
      <w:pPr>
        <w:spacing w:after="0" w:line="240" w:lineRule="auto"/>
      </w:pPr>
      <w:r>
        <w:separator/>
      </w:r>
    </w:p>
  </w:endnote>
  <w:endnote w:type="continuationSeparator" w:id="0">
    <w:p w:rsidR="00143313" w:rsidRDefault="00143313"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rsidR="004F6C2F" w:rsidRPr="001846FC" w:rsidRDefault="004F6C2F" w:rsidP="001846FC">
            <w:pPr>
              <w:pStyle w:val="Footer"/>
              <w:jc w:val="right"/>
              <w:rPr>
                <w:rFonts w:ascii="Avenir" w:hAnsi="Avenir"/>
              </w:rPr>
            </w:pPr>
            <w:r w:rsidRPr="0091763A">
              <w:rPr>
                <w:rFonts w:ascii="Avenir" w:hAnsi="Avenir"/>
              </w:rPr>
              <w:t xml:space="preserve">Page </w:t>
            </w:r>
            <w:r w:rsidR="00E14538" w:rsidRPr="0091763A">
              <w:rPr>
                <w:rFonts w:ascii="Avenir" w:hAnsi="Avenir"/>
                <w:b/>
                <w:sz w:val="24"/>
                <w:szCs w:val="24"/>
              </w:rPr>
              <w:fldChar w:fldCharType="begin"/>
            </w:r>
            <w:r w:rsidRPr="0091763A">
              <w:rPr>
                <w:rFonts w:ascii="Avenir" w:hAnsi="Avenir"/>
                <w:b/>
              </w:rPr>
              <w:instrText xml:space="preserve"> PAGE </w:instrText>
            </w:r>
            <w:r w:rsidR="00E14538" w:rsidRPr="0091763A">
              <w:rPr>
                <w:rFonts w:ascii="Avenir" w:hAnsi="Avenir"/>
                <w:b/>
                <w:sz w:val="24"/>
                <w:szCs w:val="24"/>
              </w:rPr>
              <w:fldChar w:fldCharType="separate"/>
            </w:r>
            <w:r w:rsidR="0088378F">
              <w:rPr>
                <w:rFonts w:ascii="Avenir" w:hAnsi="Avenir"/>
                <w:b/>
                <w:noProof/>
              </w:rPr>
              <w:t>1</w:t>
            </w:r>
            <w:r w:rsidR="00E14538" w:rsidRPr="0091763A">
              <w:rPr>
                <w:rFonts w:ascii="Avenir" w:hAnsi="Avenir"/>
                <w:b/>
                <w:sz w:val="24"/>
                <w:szCs w:val="24"/>
              </w:rPr>
              <w:fldChar w:fldCharType="end"/>
            </w:r>
            <w:r w:rsidRPr="0091763A">
              <w:rPr>
                <w:rFonts w:ascii="Avenir" w:hAnsi="Avenir"/>
              </w:rPr>
              <w:t xml:space="preserve"> of </w:t>
            </w:r>
            <w:r w:rsidR="00E14538" w:rsidRPr="0091763A">
              <w:rPr>
                <w:rFonts w:ascii="Avenir" w:hAnsi="Avenir"/>
                <w:b/>
                <w:sz w:val="24"/>
                <w:szCs w:val="24"/>
              </w:rPr>
              <w:fldChar w:fldCharType="begin"/>
            </w:r>
            <w:r w:rsidRPr="0091763A">
              <w:rPr>
                <w:rFonts w:ascii="Avenir" w:hAnsi="Avenir"/>
                <w:b/>
              </w:rPr>
              <w:instrText xml:space="preserve"> NUMPAGES  </w:instrText>
            </w:r>
            <w:r w:rsidR="00E14538" w:rsidRPr="0091763A">
              <w:rPr>
                <w:rFonts w:ascii="Avenir" w:hAnsi="Avenir"/>
                <w:b/>
                <w:sz w:val="24"/>
                <w:szCs w:val="24"/>
              </w:rPr>
              <w:fldChar w:fldCharType="separate"/>
            </w:r>
            <w:r w:rsidR="0088378F">
              <w:rPr>
                <w:rFonts w:ascii="Avenir" w:hAnsi="Avenir"/>
                <w:b/>
                <w:noProof/>
              </w:rPr>
              <w:t>1</w:t>
            </w:r>
            <w:r w:rsidR="00E14538"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313" w:rsidRDefault="00143313" w:rsidP="00004886">
      <w:pPr>
        <w:spacing w:after="0" w:line="240" w:lineRule="auto"/>
      </w:pPr>
      <w:r>
        <w:separator/>
      </w:r>
    </w:p>
  </w:footnote>
  <w:footnote w:type="continuationSeparator" w:id="0">
    <w:p w:rsidR="00143313" w:rsidRDefault="00143313"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C2F" w:rsidRDefault="00283873"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C2F" w:rsidRPr="0091763A" w:rsidRDefault="004F6C2F" w:rsidP="00004886">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" stroked="f">
              <v:textbox style="mso-fit-shape-to-text:t">
                <w:txbxContent>
                  <w:p w:rsidR="004F6C2F" w:rsidRPr="0091763A" w:rsidRDefault="004F6C2F" w:rsidP="00004886">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v:textbox>
            </v:shape>
          </w:pict>
        </mc:Fallback>
      </mc:AlternateContent>
    </w:r>
    <w:r w:rsidR="0088378F">
      <w:rPr>
        <w:noProof/>
      </w:rPr>
      <w:drawing>
        <wp:inline distT="0" distB="0" distL="0" distR="0" wp14:anchorId="7F29DD00" wp14:editId="041036D9">
          <wp:extent cx="2176145" cy="572770"/>
          <wp:effectExtent l="0" t="0" r="0" b="0"/>
          <wp:docPr id="2" name="Picture 1" descr="HHH-Black- for forms.jpg"/>
          <wp:cNvGraphicFramePr/>
          <a:graphic xmlns:a="http://schemas.openxmlformats.org/drawingml/2006/main">
            <a:graphicData uri="http://schemas.openxmlformats.org/drawingml/2006/picture">
              <pic:pic xmlns:pic="http://schemas.openxmlformats.org/drawingml/2006/picture">
                <pic:nvPicPr>
                  <pic:cNvPr id="2" name="Picture 1" descr="HHH-Black- for forms.jpg"/>
                  <pic:cNvPicPr/>
                </pic:nvPicPr>
                <pic:blipFill>
                  <a:blip r:embed="rId1"/>
                  <a:stretch>
                    <a:fillRect/>
                  </a:stretch>
                </pic:blipFill>
                <pic:spPr>
                  <a:xfrm>
                    <a:off x="0" y="0"/>
                    <a:ext cx="2176145" cy="572770"/>
                  </a:xfrm>
                  <a:prstGeom prst="rect">
                    <a:avLst/>
                  </a:prstGeom>
                </pic:spPr>
              </pic:pic>
            </a:graphicData>
          </a:graphic>
        </wp:inline>
      </w:drawing>
    </w:r>
    <w:r w:rsidR="004F6C2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9"/>
      <w:gridCol w:w="3117"/>
    </w:tblGrid>
    <w:tr w:rsidR="001846FC" w:rsidRPr="00004886" w:rsidTr="001846FC">
      <w:trPr>
        <w:trHeight w:val="432"/>
      </w:trPr>
      <w:tc>
        <w:tcPr>
          <w:tcW w:w="9350" w:type="dxa"/>
          <w:gridSpan w:val="3"/>
          <w:shd w:val="clear" w:color="auto" w:fill="D9D9D9" w:themeFill="background1" w:themeFillShade="D9"/>
          <w:vAlign w:val="center"/>
        </w:tcPr>
        <w:p w:rsidR="001846FC" w:rsidRPr="0091763A" w:rsidRDefault="001846FC" w:rsidP="001846FC">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1846FC" w:rsidRPr="00004886" w:rsidTr="001846FC">
      <w:trPr>
        <w:trHeight w:val="432"/>
      </w:trPr>
      <w:tc>
        <w:tcPr>
          <w:tcW w:w="9350" w:type="dxa"/>
          <w:gridSpan w:val="3"/>
          <w:vAlign w:val="center"/>
        </w:tcPr>
        <w:p w:rsidR="001846FC" w:rsidRPr="00383057" w:rsidRDefault="001846FC" w:rsidP="001846FC">
          <w:pPr>
            <w:spacing w:after="0" w:line="240" w:lineRule="auto"/>
            <w:rPr>
              <w:rFonts w:ascii="Georgia" w:eastAsiaTheme="minorHAnsi" w:hAnsi="Georgia" w:cstheme="minorBidi"/>
            </w:rPr>
          </w:pPr>
          <w:r>
            <w:rPr>
              <w:rFonts w:ascii="Georgia" w:eastAsiaTheme="minorHAnsi" w:hAnsi="Georgia" w:cstheme="minorBidi"/>
            </w:rPr>
            <w:t>Recertification (60 day) Summary</w:t>
          </w:r>
        </w:p>
      </w:tc>
    </w:tr>
    <w:tr w:rsidR="004F6C2F" w:rsidRPr="00004886" w:rsidTr="001846FC">
      <w:tc>
        <w:tcPr>
          <w:tcW w:w="3114" w:type="dxa"/>
          <w:shd w:val="clear" w:color="auto" w:fill="D9D9D9" w:themeFill="background1" w:themeFillShade="D9"/>
        </w:tcPr>
        <w:p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9" w:type="dxa"/>
          <w:shd w:val="clear" w:color="auto" w:fill="D9D9D9" w:themeFill="background1" w:themeFillShade="D9"/>
          <w:tcMar>
            <w:top w:w="115" w:type="dxa"/>
            <w:left w:w="115" w:type="dxa"/>
            <w:bottom w:w="115" w:type="dxa"/>
            <w:right w:w="115" w:type="dxa"/>
          </w:tcMar>
        </w:tcPr>
        <w:p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7" w:type="dxa"/>
          <w:shd w:val="clear" w:color="auto" w:fill="D9D9D9" w:themeFill="background1" w:themeFillShade="D9"/>
        </w:tcPr>
        <w:p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4F6C2F" w:rsidRPr="00004886" w:rsidTr="001846FC">
      <w:tc>
        <w:tcPr>
          <w:tcW w:w="3114" w:type="dxa"/>
        </w:tcPr>
        <w:p w:rsidR="004F6C2F" w:rsidRPr="00383057" w:rsidRDefault="004F6C2F" w:rsidP="00513DB0">
          <w:pPr>
            <w:spacing w:after="0" w:line="240" w:lineRule="auto"/>
            <w:rPr>
              <w:rFonts w:ascii="Georgia" w:eastAsiaTheme="minorHAnsi" w:hAnsi="Georgia" w:cstheme="minorBidi"/>
            </w:rPr>
          </w:pPr>
          <w:r>
            <w:rPr>
              <w:rFonts w:ascii="Georgia" w:eastAsiaTheme="minorHAnsi" w:hAnsi="Georgia" w:cstheme="minorBidi"/>
            </w:rPr>
            <w:t>3/25/14</w:t>
          </w:r>
        </w:p>
      </w:tc>
      <w:tc>
        <w:tcPr>
          <w:tcW w:w="3119" w:type="dxa"/>
          <w:tcMar>
            <w:top w:w="115" w:type="dxa"/>
            <w:left w:w="115" w:type="dxa"/>
            <w:bottom w:w="115" w:type="dxa"/>
            <w:right w:w="115" w:type="dxa"/>
          </w:tcMar>
        </w:tcPr>
        <w:p w:rsidR="004F6C2F" w:rsidRPr="00383057" w:rsidRDefault="001846FC" w:rsidP="00513DB0">
          <w:pPr>
            <w:spacing w:after="0" w:line="240" w:lineRule="auto"/>
            <w:rPr>
              <w:rFonts w:ascii="Georgia" w:eastAsiaTheme="minorHAnsi" w:hAnsi="Georgia" w:cstheme="minorBidi"/>
            </w:rPr>
          </w:pPr>
          <w:r>
            <w:rPr>
              <w:rFonts w:ascii="Georgia" w:eastAsiaTheme="minorHAnsi" w:hAnsi="Georgia" w:cstheme="minorBidi"/>
            </w:rPr>
            <w:t>7/9/21</w:t>
          </w:r>
        </w:p>
      </w:tc>
      <w:tc>
        <w:tcPr>
          <w:tcW w:w="3117" w:type="dxa"/>
        </w:tcPr>
        <w:p w:rsidR="004F6C2F" w:rsidRPr="00383057" w:rsidRDefault="001846FC" w:rsidP="00513DB0">
          <w:pPr>
            <w:spacing w:after="0" w:line="240" w:lineRule="auto"/>
            <w:rPr>
              <w:rFonts w:ascii="Georgia" w:eastAsiaTheme="minorHAnsi" w:hAnsi="Georgia" w:cstheme="minorBidi"/>
            </w:rPr>
          </w:pPr>
          <w:r>
            <w:rPr>
              <w:rFonts w:ascii="Georgia" w:eastAsiaTheme="minorHAnsi" w:hAnsi="Georgia" w:cstheme="minorBidi"/>
            </w:rPr>
            <w:t>7/9/22</w:t>
          </w:r>
        </w:p>
      </w:tc>
    </w:tr>
    <w:tr w:rsidR="001846FC" w:rsidRPr="00004886" w:rsidTr="001846FC">
      <w:trPr>
        <w:trHeight w:val="432"/>
      </w:trPr>
      <w:tc>
        <w:tcPr>
          <w:tcW w:w="9350" w:type="dxa"/>
          <w:gridSpan w:val="3"/>
          <w:shd w:val="clear" w:color="auto" w:fill="D9D9D9" w:themeFill="background1" w:themeFillShade="D9"/>
          <w:vAlign w:val="center"/>
        </w:tcPr>
        <w:p w:rsidR="001846FC" w:rsidRPr="0091763A" w:rsidRDefault="001846FC" w:rsidP="001846FC">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1846FC" w:rsidRPr="00004886" w:rsidTr="001846FC">
      <w:trPr>
        <w:trHeight w:val="576"/>
      </w:trPr>
      <w:tc>
        <w:tcPr>
          <w:tcW w:w="9350" w:type="dxa"/>
          <w:gridSpan w:val="3"/>
          <w:vAlign w:val="center"/>
        </w:tcPr>
        <w:p w:rsidR="001846FC" w:rsidRPr="00383057" w:rsidRDefault="001846FC" w:rsidP="001846FC">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4F6C2F" w:rsidRPr="00004886" w:rsidTr="001846FC">
      <w:tc>
        <w:tcPr>
          <w:tcW w:w="9350" w:type="dxa"/>
          <w:gridSpan w:val="3"/>
          <w:shd w:val="clear" w:color="auto" w:fill="D9D9D9" w:themeFill="background1" w:themeFillShade="D9"/>
          <w:tcMar>
            <w:top w:w="115" w:type="dxa"/>
            <w:left w:w="115" w:type="dxa"/>
            <w:bottom w:w="115" w:type="dxa"/>
            <w:right w:w="115" w:type="dxa"/>
          </w:tcMar>
        </w:tcPr>
        <w:p w:rsidR="004F6C2F" w:rsidRPr="0091763A" w:rsidRDefault="004F6C2F" w:rsidP="00513DB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4F6C2F" w:rsidRPr="00004886" w:rsidTr="001846FC">
      <w:tc>
        <w:tcPr>
          <w:tcW w:w="9350" w:type="dxa"/>
          <w:gridSpan w:val="3"/>
          <w:shd w:val="clear" w:color="auto" w:fill="auto"/>
          <w:tcMar>
            <w:top w:w="115" w:type="dxa"/>
            <w:left w:w="115" w:type="dxa"/>
            <w:bottom w:w="115" w:type="dxa"/>
            <w:right w:w="115" w:type="dxa"/>
          </w:tcMar>
        </w:tcPr>
        <w:p w:rsidR="004F6C2F" w:rsidRPr="00383057" w:rsidRDefault="004F6C2F" w:rsidP="00513DB0">
          <w:pPr>
            <w:spacing w:after="0" w:line="240" w:lineRule="auto"/>
            <w:rPr>
              <w:rFonts w:ascii="Georgia" w:eastAsiaTheme="minorHAnsi" w:hAnsi="Georgia" w:cstheme="minorBidi"/>
            </w:rPr>
          </w:pPr>
        </w:p>
      </w:tc>
    </w:tr>
  </w:tbl>
  <w:p w:rsidR="004F6C2F" w:rsidRDefault="004F6C2F"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34C2F"/>
    <w:multiLevelType w:val="hybridMultilevel"/>
    <w:tmpl w:val="E7401BAC"/>
    <w:lvl w:ilvl="0" w:tplc="0F8CBD64">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50686"/>
    <w:multiLevelType w:val="hybridMultilevel"/>
    <w:tmpl w:val="44A2701C"/>
    <w:lvl w:ilvl="0" w:tplc="FB6E6FA0">
      <w:start w:val="1"/>
      <w:numFmt w:val="decimal"/>
      <w:lvlText w:val="%1."/>
      <w:lvlJc w:val="left"/>
      <w:pPr>
        <w:tabs>
          <w:tab w:val="num" w:pos="720"/>
        </w:tabs>
        <w:ind w:left="720" w:hanging="360"/>
      </w:pPr>
      <w:rPr>
        <w:rFonts w:hint="default"/>
      </w:rPr>
    </w:lvl>
    <w:lvl w:ilvl="1" w:tplc="5210820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187737E"/>
    <w:multiLevelType w:val="hybridMultilevel"/>
    <w:tmpl w:val="F730A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C133AA"/>
    <w:multiLevelType w:val="hybridMultilevel"/>
    <w:tmpl w:val="8992229A"/>
    <w:lvl w:ilvl="0" w:tplc="C56C57CC">
      <w:start w:val="1"/>
      <w:numFmt w:val="decimal"/>
      <w:lvlText w:val="%1."/>
      <w:lvlJc w:val="left"/>
      <w:pPr>
        <w:tabs>
          <w:tab w:val="num" w:pos="1440"/>
        </w:tabs>
        <w:ind w:left="1440" w:hanging="360"/>
      </w:pPr>
      <w:rPr>
        <w:rFonts w:hint="default"/>
      </w:rPr>
    </w:lvl>
    <w:lvl w:ilvl="1" w:tplc="B33EF294">
      <w:start w:val="1"/>
      <w:numFmt w:val="upperLetter"/>
      <w:lvlText w:val="%2."/>
      <w:lvlJc w:val="left"/>
      <w:pPr>
        <w:tabs>
          <w:tab w:val="num" w:pos="1371"/>
        </w:tabs>
        <w:ind w:left="1371" w:hanging="435"/>
      </w:pPr>
      <w:rPr>
        <w:rFonts w:hint="default"/>
      </w:r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5"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B9C135A"/>
    <w:multiLevelType w:val="hybridMultilevel"/>
    <w:tmpl w:val="254AE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4727B"/>
    <w:multiLevelType w:val="hybridMultilevel"/>
    <w:tmpl w:val="71F41E18"/>
    <w:lvl w:ilvl="0" w:tplc="D046C6EA">
      <w:start w:val="1"/>
      <w:numFmt w:val="upperLetter"/>
      <w:lvlText w:val="%1."/>
      <w:lvlJc w:val="left"/>
      <w:pPr>
        <w:tabs>
          <w:tab w:val="num" w:pos="435"/>
        </w:tabs>
        <w:ind w:left="435" w:hanging="435"/>
      </w:pPr>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A7AA964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CD05822"/>
    <w:multiLevelType w:val="hybridMultilevel"/>
    <w:tmpl w:val="2A22DF84"/>
    <w:lvl w:ilvl="0" w:tplc="7D20C9D2">
      <w:start w:val="1"/>
      <w:numFmt w:val="decimal"/>
      <w:lvlText w:val="%1."/>
      <w:lvlJc w:val="left"/>
      <w:pPr>
        <w:tabs>
          <w:tab w:val="num" w:pos="720"/>
        </w:tabs>
        <w:ind w:left="720" w:hanging="360"/>
      </w:pPr>
      <w:rPr>
        <w:rFonts w:hint="default"/>
      </w:rPr>
    </w:lvl>
    <w:lvl w:ilvl="1" w:tplc="6A7CA6CA">
      <w:start w:val="1"/>
      <w:numFmt w:val="upperLetter"/>
      <w:lvlText w:val="%2."/>
      <w:lvlJc w:val="left"/>
      <w:pPr>
        <w:tabs>
          <w:tab w:val="num" w:pos="1515"/>
        </w:tabs>
        <w:ind w:left="1515" w:hanging="43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9666BF"/>
    <w:multiLevelType w:val="hybridMultilevel"/>
    <w:tmpl w:val="ED265842"/>
    <w:lvl w:ilvl="0" w:tplc="10062FC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1"/>
  </w:num>
  <w:num w:numId="3">
    <w:abstractNumId w:val="5"/>
  </w:num>
  <w:num w:numId="4">
    <w:abstractNumId w:val="9"/>
  </w:num>
  <w:num w:numId="5">
    <w:abstractNumId w:val="7"/>
  </w:num>
  <w:num w:numId="6">
    <w:abstractNumId w:val="2"/>
  </w:num>
  <w:num w:numId="7">
    <w:abstractNumId w:val="4"/>
  </w:num>
  <w:num w:numId="8">
    <w:abstractNumId w:val="6"/>
  </w:num>
  <w:num w:numId="9">
    <w:abstractNumId w:val="3"/>
  </w:num>
  <w:num w:numId="10">
    <w:abstractNumId w:val="1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23B66"/>
    <w:rsid w:val="00070BDF"/>
    <w:rsid w:val="000E0733"/>
    <w:rsid w:val="00143313"/>
    <w:rsid w:val="001846FC"/>
    <w:rsid w:val="002174C0"/>
    <w:rsid w:val="00283873"/>
    <w:rsid w:val="00366B62"/>
    <w:rsid w:val="00383057"/>
    <w:rsid w:val="003A605C"/>
    <w:rsid w:val="004039FB"/>
    <w:rsid w:val="00496194"/>
    <w:rsid w:val="004B00A2"/>
    <w:rsid w:val="004F6C2F"/>
    <w:rsid w:val="004F7E1E"/>
    <w:rsid w:val="00513DB0"/>
    <w:rsid w:val="005374AE"/>
    <w:rsid w:val="006318B2"/>
    <w:rsid w:val="00636251"/>
    <w:rsid w:val="0064513A"/>
    <w:rsid w:val="006772EC"/>
    <w:rsid w:val="00697B33"/>
    <w:rsid w:val="006C0ECD"/>
    <w:rsid w:val="00721119"/>
    <w:rsid w:val="00744C01"/>
    <w:rsid w:val="007D240F"/>
    <w:rsid w:val="00806F6F"/>
    <w:rsid w:val="00857EA6"/>
    <w:rsid w:val="0088378F"/>
    <w:rsid w:val="008F49D4"/>
    <w:rsid w:val="00914055"/>
    <w:rsid w:val="0091763A"/>
    <w:rsid w:val="009342A6"/>
    <w:rsid w:val="009F3EE2"/>
    <w:rsid w:val="00A1280F"/>
    <w:rsid w:val="00A63F7C"/>
    <w:rsid w:val="00AC317F"/>
    <w:rsid w:val="00AF7CAE"/>
    <w:rsid w:val="00BA51C0"/>
    <w:rsid w:val="00BC1DAD"/>
    <w:rsid w:val="00C70850"/>
    <w:rsid w:val="00C82A2B"/>
    <w:rsid w:val="00C97BB8"/>
    <w:rsid w:val="00DD17C5"/>
    <w:rsid w:val="00DD5BC7"/>
    <w:rsid w:val="00DE38FB"/>
    <w:rsid w:val="00E14538"/>
    <w:rsid w:val="00E547EA"/>
    <w:rsid w:val="00E810E1"/>
    <w:rsid w:val="00F107CD"/>
    <w:rsid w:val="00F53FEA"/>
    <w:rsid w:val="00FF23CE"/>
    <w:rsid w:val="00FF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FAB3BE"/>
  <w15:docId w15:val="{19352AF1-7AFA-4B18-BFAF-EC5629D4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uiPriority w:val="9"/>
    <w:qFormat/>
    <w:rsid w:val="00513D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Heading1"/>
    <w:link w:val="Heading3Char"/>
    <w:qFormat/>
    <w:rsid w:val="00513DB0"/>
    <w:pPr>
      <w:keepLines w:val="0"/>
      <w:spacing w:before="0" w:line="240" w:lineRule="auto"/>
      <w:outlineLvl w:val="2"/>
    </w:pPr>
    <w:rPr>
      <w:rFonts w:ascii="Times New Roman" w:eastAsia="PMingLiU" w:hAnsi="Times New Roman" w:cs="Times New Roman"/>
      <w:caps/>
      <w:color w:val="auto"/>
    </w:rPr>
  </w:style>
  <w:style w:type="paragraph" w:styleId="Heading4">
    <w:name w:val="heading 4"/>
    <w:basedOn w:val="Normal"/>
    <w:next w:val="Normal"/>
    <w:link w:val="Heading4Char"/>
    <w:qFormat/>
    <w:rsid w:val="00513DB0"/>
    <w:pPr>
      <w:keepNext/>
      <w:spacing w:after="0" w:line="240" w:lineRule="auto"/>
      <w:outlineLvl w:val="3"/>
    </w:pPr>
    <w:rPr>
      <w:rFonts w:ascii="Times New Roman" w:eastAsia="PMingLiU"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3Char">
    <w:name w:val="Heading 3 Char"/>
    <w:basedOn w:val="DefaultParagraphFont"/>
    <w:link w:val="Heading3"/>
    <w:rsid w:val="00513DB0"/>
    <w:rPr>
      <w:rFonts w:ascii="Times New Roman" w:eastAsia="PMingLiU" w:hAnsi="Times New Roman"/>
      <w:b/>
      <w:bCs/>
      <w:caps/>
      <w:sz w:val="28"/>
      <w:szCs w:val="28"/>
    </w:rPr>
  </w:style>
  <w:style w:type="character" w:customStyle="1" w:styleId="Heading4Char">
    <w:name w:val="Heading 4 Char"/>
    <w:basedOn w:val="DefaultParagraphFont"/>
    <w:link w:val="Heading4"/>
    <w:rsid w:val="00513DB0"/>
    <w:rPr>
      <w:rFonts w:ascii="Times New Roman" w:eastAsia="PMingLiU" w:hAnsi="Times New Roman"/>
      <w:b/>
      <w:bCs/>
      <w:i/>
      <w:iCs/>
      <w:sz w:val="24"/>
      <w:szCs w:val="24"/>
    </w:rPr>
  </w:style>
  <w:style w:type="paragraph" w:styleId="BodyTextIndent">
    <w:name w:val="Body Text Indent"/>
    <w:basedOn w:val="Normal"/>
    <w:link w:val="BodyTextIndentChar"/>
    <w:semiHidden/>
    <w:rsid w:val="00513DB0"/>
    <w:pPr>
      <w:spacing w:after="0" w:line="240" w:lineRule="auto"/>
      <w:ind w:left="432" w:hanging="432"/>
    </w:pPr>
    <w:rPr>
      <w:rFonts w:ascii="Arial" w:eastAsia="PMingLiU" w:hAnsi="Arial" w:cs="Arial"/>
    </w:rPr>
  </w:style>
  <w:style w:type="character" w:customStyle="1" w:styleId="BodyTextIndentChar">
    <w:name w:val="Body Text Indent Char"/>
    <w:basedOn w:val="DefaultParagraphFont"/>
    <w:link w:val="BodyTextIndent"/>
    <w:semiHidden/>
    <w:rsid w:val="00513DB0"/>
    <w:rPr>
      <w:rFonts w:ascii="Arial" w:eastAsia="PMingLiU" w:hAnsi="Arial" w:cs="Arial"/>
      <w:sz w:val="22"/>
      <w:szCs w:val="22"/>
    </w:rPr>
  </w:style>
  <w:style w:type="paragraph" w:styleId="BodyTextIndent2">
    <w:name w:val="Body Text Indent 2"/>
    <w:basedOn w:val="Normal"/>
    <w:link w:val="BodyTextIndent2Char"/>
    <w:semiHidden/>
    <w:rsid w:val="00513DB0"/>
    <w:pPr>
      <w:spacing w:after="0" w:line="240" w:lineRule="auto"/>
      <w:ind w:left="864" w:hanging="432"/>
    </w:pPr>
    <w:rPr>
      <w:rFonts w:ascii="Arial" w:eastAsia="PMingLiU" w:hAnsi="Arial" w:cs="Arial"/>
    </w:rPr>
  </w:style>
  <w:style w:type="character" w:customStyle="1" w:styleId="BodyTextIndent2Char">
    <w:name w:val="Body Text Indent 2 Char"/>
    <w:basedOn w:val="DefaultParagraphFont"/>
    <w:link w:val="BodyTextIndent2"/>
    <w:semiHidden/>
    <w:rsid w:val="00513DB0"/>
    <w:rPr>
      <w:rFonts w:ascii="Arial" w:eastAsia="PMingLiU" w:hAnsi="Arial" w:cs="Arial"/>
      <w:sz w:val="22"/>
      <w:szCs w:val="22"/>
    </w:rPr>
  </w:style>
  <w:style w:type="character" w:customStyle="1" w:styleId="Heading1Char">
    <w:name w:val="Heading 1 Char"/>
    <w:basedOn w:val="DefaultParagraphFont"/>
    <w:link w:val="Heading1"/>
    <w:uiPriority w:val="9"/>
    <w:rsid w:val="00513DB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59A21-03DB-4C18-86D7-B12E04871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dcterms:created xsi:type="dcterms:W3CDTF">2021-07-20T16:15:00Z</dcterms:created>
  <dcterms:modified xsi:type="dcterms:W3CDTF">2021-07-20T16:16:00Z</dcterms:modified>
</cp:coreProperties>
</file>