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6230" w14:textId="77777777" w:rsidR="00E23215" w:rsidRPr="00133344" w:rsidRDefault="001D7B14">
      <w:pPr>
        <w:autoSpaceDE w:val="0"/>
        <w:autoSpaceDN w:val="0"/>
        <w:adjustRightInd w:val="0"/>
        <w:spacing w:before="0"/>
        <w:ind w:left="-720" w:right="-360" w:firstLine="0"/>
        <w:jc w:val="both"/>
        <w:rPr>
          <w:sz w:val="20"/>
        </w:rPr>
      </w:pPr>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14:paraId="32C1ABF2" w14:textId="77777777" w:rsidR="00E23215" w:rsidRDefault="00E23215">
      <w:pPr>
        <w:autoSpaceDE w:val="0"/>
        <w:autoSpaceDN w:val="0"/>
        <w:adjustRightInd w:val="0"/>
        <w:spacing w:before="0"/>
        <w:ind w:left="-720" w:right="-360" w:firstLine="0"/>
        <w:jc w:val="both"/>
        <w:rPr>
          <w:sz w:val="22"/>
          <w:szCs w:val="22"/>
        </w:rPr>
      </w:pPr>
    </w:p>
    <w:p w14:paraId="4AEE3AF4" w14:textId="77777777" w:rsidR="00E23215" w:rsidRPr="001F5E01" w:rsidRDefault="00811CAF">
      <w:pPr>
        <w:autoSpaceDE w:val="0"/>
        <w:autoSpaceDN w:val="0"/>
        <w:adjustRightInd w:val="0"/>
        <w:spacing w:before="0"/>
        <w:ind w:left="-720" w:right="-360" w:firstLine="0"/>
        <w:jc w:val="center"/>
        <w:rPr>
          <w:b/>
          <w:caps/>
          <w:sz w:val="22"/>
          <w:szCs w:val="22"/>
        </w:rPr>
      </w:pPr>
      <w:r>
        <w:rPr>
          <w:b/>
          <w:caps/>
          <w:sz w:val="22"/>
          <w:szCs w:val="22"/>
        </w:rPr>
        <w:t>[Company Name]</w:t>
      </w:r>
    </w:p>
    <w:p w14:paraId="30588CE4" w14:textId="77777777" w:rsidR="00E23215" w:rsidRDefault="00E23215">
      <w:pPr>
        <w:autoSpaceDE w:val="0"/>
        <w:autoSpaceDN w:val="0"/>
        <w:adjustRightInd w:val="0"/>
        <w:spacing w:before="0"/>
        <w:ind w:left="-720" w:right="-360" w:firstLine="0"/>
        <w:jc w:val="both"/>
        <w:rPr>
          <w:sz w:val="22"/>
          <w:szCs w:val="22"/>
        </w:rPr>
      </w:pPr>
    </w:p>
    <w:p w14:paraId="5021D008" w14:textId="77777777"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C36AE81" w14:textId="77777777"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14:paraId="18D15E69" w14:textId="23A3D0C4" w:rsidR="005A768E" w:rsidRDefault="00AF1458" w:rsidP="00CA70CF">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14:paraId="331FA9ED" w14:textId="488CE317" w:rsidR="002F52D2" w:rsidRDefault="002F52D2" w:rsidP="00CA70CF">
      <w:pPr>
        <w:autoSpaceDE w:val="0"/>
        <w:autoSpaceDN w:val="0"/>
        <w:adjustRightInd w:val="0"/>
        <w:ind w:left="-720" w:right="-360"/>
        <w:jc w:val="both"/>
        <w:rPr>
          <w:sz w:val="22"/>
          <w:szCs w:val="22"/>
        </w:rPr>
      </w:pPr>
      <w:r>
        <w:rPr>
          <w:sz w:val="22"/>
          <w:szCs w:val="22"/>
        </w:rPr>
        <w:t xml:space="preserve">This Safe </w:t>
      </w:r>
      <w:r w:rsidR="00C07A21">
        <w:rPr>
          <w:sz w:val="22"/>
          <w:szCs w:val="22"/>
        </w:rPr>
        <w:t>is</w:t>
      </w:r>
      <w:r w:rsidR="00A04F1C">
        <w:rPr>
          <w:sz w:val="22"/>
          <w:szCs w:val="22"/>
        </w:rPr>
        <w:t xml:space="preserve"> based on</w:t>
      </w:r>
      <w:r w:rsidR="00C07A21">
        <w:rPr>
          <w:sz w:val="22"/>
          <w:szCs w:val="22"/>
        </w:rPr>
        <w:t xml:space="preserve"> one of the</w:t>
      </w:r>
      <w:r>
        <w:rPr>
          <w:sz w:val="22"/>
          <w:szCs w:val="22"/>
        </w:rPr>
        <w:t xml:space="preserve"> forms available at </w:t>
      </w:r>
      <w:hyperlink r:id="rId8" w:history="1">
        <w:r w:rsidRPr="0046724F">
          <w:rPr>
            <w:rStyle w:val="Hyperlink"/>
            <w:sz w:val="22"/>
            <w:szCs w:val="22"/>
          </w:rPr>
          <w:t>http://ycombinator.com/documents</w:t>
        </w:r>
      </w:hyperlink>
      <w:r w:rsidR="00C07A21">
        <w:rPr>
          <w:sz w:val="22"/>
          <w:szCs w:val="22"/>
        </w:rPr>
        <w:t xml:space="preserve">. </w:t>
      </w:r>
      <w:r w:rsidR="00D10C07">
        <w:rPr>
          <w:rStyle w:val="FootnoteReference"/>
          <w:sz w:val="22"/>
          <w:szCs w:val="22"/>
        </w:rPr>
        <w:footnoteReference w:id="2"/>
      </w:r>
    </w:p>
    <w:p w14:paraId="60C6C362" w14:textId="77777777" w:rsidR="00543E23" w:rsidRPr="005203D9" w:rsidRDefault="00945EAA" w:rsidP="00CA70CF">
      <w:pPr>
        <w:autoSpaceDE w:val="0"/>
        <w:autoSpaceDN w:val="0"/>
        <w:adjustRightInd w:val="0"/>
        <w:ind w:left="-720" w:right="-360"/>
        <w:jc w:val="both"/>
        <w:rPr>
          <w:sz w:val="22"/>
          <w:szCs w:val="22"/>
        </w:rPr>
      </w:pPr>
      <w:r>
        <w:rPr>
          <w:rFonts w:eastAsia="Calibri"/>
          <w:sz w:val="22"/>
          <w:szCs w:val="22"/>
        </w:rPr>
        <w:t xml:space="preserve">The </w:t>
      </w:r>
      <w:r w:rsidRPr="00C040DA">
        <w:rPr>
          <w:rFonts w:eastAsia="Calibri"/>
          <w:sz w:val="22"/>
          <w:szCs w:val="22"/>
        </w:rPr>
        <w:t>“</w:t>
      </w:r>
      <w:r w:rsidR="00CD2F46">
        <w:rPr>
          <w:rFonts w:eastAsia="Calibri"/>
          <w:b/>
          <w:sz w:val="22"/>
          <w:szCs w:val="22"/>
        </w:rPr>
        <w:t>Post</w:t>
      </w:r>
      <w:r w:rsidR="00654C4D">
        <w:rPr>
          <w:rFonts w:eastAsia="Calibri"/>
          <w:b/>
          <w:sz w:val="22"/>
          <w:szCs w:val="22"/>
        </w:rPr>
        <w:t>-</w:t>
      </w:r>
      <w:r w:rsidR="006A2768">
        <w:rPr>
          <w:rFonts w:eastAsia="Calibri"/>
          <w:b/>
          <w:sz w:val="22"/>
          <w:szCs w:val="22"/>
        </w:rPr>
        <w:t>M</w:t>
      </w:r>
      <w:r w:rsidR="00CD2F46">
        <w:rPr>
          <w:rFonts w:eastAsia="Calibri"/>
          <w:b/>
          <w:sz w:val="22"/>
          <w:szCs w:val="22"/>
        </w:rPr>
        <w:t xml:space="preserve">oney </w:t>
      </w:r>
      <w:r w:rsidRPr="00C040DA">
        <w:rPr>
          <w:b/>
          <w:sz w:val="22"/>
          <w:szCs w:val="22"/>
        </w:rPr>
        <w:t>Valuation</w:t>
      </w:r>
      <w:r>
        <w:rPr>
          <w:b/>
          <w:sz w:val="22"/>
          <w:szCs w:val="22"/>
        </w:rPr>
        <w:t xml:space="preserve"> Cap</w:t>
      </w:r>
      <w:r w:rsidRPr="00C040DA">
        <w:rPr>
          <w:sz w:val="22"/>
          <w:szCs w:val="22"/>
        </w:rPr>
        <w:t xml:space="preserve">” </w:t>
      </w:r>
      <w:r>
        <w:rPr>
          <w:sz w:val="22"/>
          <w:szCs w:val="22"/>
        </w:rPr>
        <w:t>is</w:t>
      </w:r>
      <w:r w:rsidRPr="00C040DA">
        <w:rPr>
          <w:sz w:val="22"/>
          <w:szCs w:val="22"/>
        </w:rPr>
        <w:t xml:space="preserve"> </w:t>
      </w:r>
      <w:r w:rsidR="002B2722">
        <w:rPr>
          <w:sz w:val="22"/>
          <w:szCs w:val="22"/>
        </w:rPr>
        <w:t>$[_____________</w:t>
      </w:r>
      <w:r w:rsidR="001F5E01">
        <w:rPr>
          <w:sz w:val="22"/>
          <w:szCs w:val="22"/>
        </w:rPr>
        <w:t>]</w:t>
      </w:r>
      <w:r>
        <w:rPr>
          <w:sz w:val="22"/>
          <w:szCs w:val="22"/>
        </w:rPr>
        <w:t xml:space="preserve">.  </w:t>
      </w:r>
      <w:r w:rsidR="002E08A7" w:rsidRPr="005203D9">
        <w:rPr>
          <w:sz w:val="22"/>
          <w:szCs w:val="22"/>
        </w:rPr>
        <w:t xml:space="preserve">See </w:t>
      </w:r>
      <w:r w:rsidR="002E08A7" w:rsidRPr="005203D9">
        <w:rPr>
          <w:b/>
          <w:sz w:val="22"/>
          <w:szCs w:val="22"/>
        </w:rPr>
        <w:t>Section 2</w:t>
      </w:r>
      <w:r w:rsidR="002E08A7" w:rsidRPr="005203D9">
        <w:rPr>
          <w:sz w:val="22"/>
          <w:szCs w:val="22"/>
        </w:rPr>
        <w:t xml:space="preserve"> for </w:t>
      </w:r>
      <w:r w:rsidR="00C90E5E">
        <w:rPr>
          <w:sz w:val="22"/>
          <w:szCs w:val="22"/>
        </w:rPr>
        <w:t xml:space="preserve">certain </w:t>
      </w:r>
      <w:r>
        <w:rPr>
          <w:sz w:val="22"/>
          <w:szCs w:val="22"/>
        </w:rPr>
        <w:t>additional</w:t>
      </w:r>
      <w:r w:rsidR="00792DE3">
        <w:rPr>
          <w:sz w:val="22"/>
          <w:szCs w:val="22"/>
        </w:rPr>
        <w:t xml:space="preserve"> </w:t>
      </w:r>
      <w:r w:rsidR="007B1802">
        <w:rPr>
          <w:sz w:val="22"/>
          <w:szCs w:val="22"/>
        </w:rPr>
        <w:t>defined terms</w:t>
      </w:r>
      <w:r w:rsidR="002E08A7" w:rsidRPr="005203D9">
        <w:rPr>
          <w:sz w:val="22"/>
          <w:szCs w:val="22"/>
        </w:rPr>
        <w:t>.</w:t>
      </w:r>
    </w:p>
    <w:p w14:paraId="44428215" w14:textId="77777777" w:rsidR="00543E23" w:rsidRPr="002C16BC" w:rsidRDefault="00543E23" w:rsidP="00CA70CF">
      <w:pPr>
        <w:keepNext/>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468546A8" w14:textId="4E60C75D" w:rsidR="006A1D97" w:rsidRDefault="008A3FA1" w:rsidP="00CA70CF">
      <w:pPr>
        <w:tabs>
          <w:tab w:val="left" w:pos="360"/>
        </w:tabs>
        <w:autoSpaceDE w:val="0"/>
        <w:autoSpaceDN w:val="0"/>
        <w:adjustRightInd w:val="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w:t>
      </w:r>
      <w:r w:rsidR="0020486E">
        <w:rPr>
          <w:sz w:val="22"/>
          <w:szCs w:val="22"/>
        </w:rPr>
        <w:t xml:space="preserve"> then</w:t>
      </w:r>
      <w:r w:rsidR="006C1FFA">
        <w:rPr>
          <w:sz w:val="22"/>
          <w:szCs w:val="22"/>
        </w:rPr>
        <w:t xml:space="preserve">, </w:t>
      </w:r>
      <w:r w:rsidR="0020486E">
        <w:rPr>
          <w:sz w:val="22"/>
          <w:szCs w:val="22"/>
        </w:rPr>
        <w:t xml:space="preserve">following </w:t>
      </w:r>
      <w:r w:rsidR="00527534">
        <w:rPr>
          <w:sz w:val="22"/>
          <w:szCs w:val="22"/>
        </w:rPr>
        <w:t>the filing of all applicable</w:t>
      </w:r>
      <w:r w:rsidR="00CB648B">
        <w:rPr>
          <w:sz w:val="22"/>
          <w:szCs w:val="22"/>
        </w:rPr>
        <w:t xml:space="preserve"> </w:t>
      </w:r>
      <w:r w:rsidR="00527534">
        <w:rPr>
          <w:sz w:val="22"/>
          <w:szCs w:val="22"/>
        </w:rPr>
        <w:t>r</w:t>
      </w:r>
      <w:r w:rsidR="0020486E">
        <w:rPr>
          <w:sz w:val="22"/>
          <w:szCs w:val="22"/>
        </w:rPr>
        <w:t xml:space="preserve">egulatory </w:t>
      </w:r>
      <w:r w:rsidR="00527534">
        <w:rPr>
          <w:sz w:val="22"/>
          <w:szCs w:val="22"/>
        </w:rPr>
        <w:t>notices</w:t>
      </w:r>
      <w:r w:rsidR="002758D1">
        <w:rPr>
          <w:sz w:val="22"/>
          <w:szCs w:val="22"/>
        </w:rPr>
        <w:t xml:space="preserve"> </w:t>
      </w:r>
      <w:bookmarkStart w:id="0" w:name="_Hlk54018427"/>
      <w:r w:rsidR="002758D1">
        <w:rPr>
          <w:sz w:val="22"/>
          <w:szCs w:val="22"/>
        </w:rPr>
        <w:t xml:space="preserve">that may be required in the </w:t>
      </w:r>
      <w:r w:rsidR="00792EC0">
        <w:rPr>
          <w:sz w:val="22"/>
          <w:szCs w:val="22"/>
        </w:rPr>
        <w:t xml:space="preserve">state and </w:t>
      </w:r>
      <w:r w:rsidR="002758D1">
        <w:rPr>
          <w:sz w:val="22"/>
          <w:szCs w:val="22"/>
        </w:rPr>
        <w:t>local jurisdiction</w:t>
      </w:r>
      <w:bookmarkEnd w:id="0"/>
      <w:r w:rsidR="00792EC0">
        <w:rPr>
          <w:sz w:val="22"/>
          <w:szCs w:val="22"/>
        </w:rPr>
        <w:t xml:space="preserve">s </w:t>
      </w:r>
      <w:r w:rsidR="008E6FAC" w:rsidRPr="008E6FAC">
        <w:rPr>
          <w:bCs/>
          <w:iCs/>
          <w:sz w:val="22"/>
          <w:szCs w:val="22"/>
        </w:rPr>
        <w:t>in which Company is licensed</w:t>
      </w:r>
      <w:r w:rsidR="008E6FAC">
        <w:rPr>
          <w:sz w:val="22"/>
          <w:szCs w:val="22"/>
        </w:rPr>
        <w:t xml:space="preserve"> to conduct commercial cannabis activity</w:t>
      </w:r>
      <w:r w:rsidR="00973852">
        <w:rPr>
          <w:sz w:val="22"/>
          <w:szCs w:val="22"/>
        </w:rPr>
        <w:t xml:space="preserve"> </w:t>
      </w:r>
      <w:r w:rsidR="008E6FAC">
        <w:rPr>
          <w:sz w:val="22"/>
          <w:szCs w:val="22"/>
        </w:rPr>
        <w:t>(the “</w:t>
      </w:r>
      <w:r w:rsidR="008E6FAC" w:rsidRPr="003E57AF">
        <w:rPr>
          <w:b/>
          <w:bCs/>
          <w:sz w:val="22"/>
          <w:szCs w:val="22"/>
        </w:rPr>
        <w:t>Licensing Jurisdictions</w:t>
      </w:r>
      <w:r w:rsidR="008E6FAC">
        <w:rPr>
          <w:sz w:val="22"/>
          <w:szCs w:val="22"/>
        </w:rPr>
        <w:t>”)</w:t>
      </w:r>
      <w:r w:rsidR="0020486E">
        <w:rPr>
          <w:sz w:val="22"/>
          <w:szCs w:val="22"/>
        </w:rPr>
        <w:t xml:space="preserve"> </w:t>
      </w:r>
      <w:r w:rsidR="006C1FFA">
        <w:rPr>
          <w:sz w:val="22"/>
          <w:szCs w:val="22"/>
        </w:rPr>
        <w:t xml:space="preserve">this Safe will automatically convert into </w:t>
      </w:r>
      <w:r w:rsidR="00084EFC">
        <w:rPr>
          <w:sz w:val="22"/>
          <w:szCs w:val="22"/>
        </w:rPr>
        <w:t xml:space="preserve">the greater of: (1) </w:t>
      </w:r>
      <w:r w:rsidR="00CC41AA">
        <w:rPr>
          <w:sz w:val="22"/>
          <w:szCs w:val="22"/>
        </w:rPr>
        <w:t>the</w:t>
      </w:r>
      <w:r w:rsidR="006C1FFA">
        <w:rPr>
          <w:sz w:val="22"/>
          <w:szCs w:val="22"/>
        </w:rPr>
        <w:t xml:space="preserve"> number of shares of </w:t>
      </w:r>
      <w:r w:rsidR="00084EFC">
        <w:rPr>
          <w:sz w:val="22"/>
          <w:szCs w:val="22"/>
        </w:rPr>
        <w:t>Standard Preferred Stock equal to</w:t>
      </w:r>
      <w:r w:rsidR="00E50520">
        <w:rPr>
          <w:sz w:val="22"/>
          <w:szCs w:val="22"/>
        </w:rPr>
        <w:t xml:space="preserve"> the Purchase Amount divided by the</w:t>
      </w:r>
      <w:r w:rsidR="001915B5">
        <w:rPr>
          <w:sz w:val="22"/>
          <w:szCs w:val="22"/>
        </w:rPr>
        <w:t xml:space="preserve"> </w:t>
      </w:r>
      <w:r w:rsidR="0002773F">
        <w:rPr>
          <w:sz w:val="22"/>
          <w:szCs w:val="22"/>
        </w:rPr>
        <w:t xml:space="preserve">lowest </w:t>
      </w:r>
      <w:r w:rsidR="00DD5F5D">
        <w:rPr>
          <w:sz w:val="22"/>
          <w:szCs w:val="22"/>
        </w:rPr>
        <w:t xml:space="preserve">price per share of the </w:t>
      </w:r>
      <w:r w:rsidR="003C3573">
        <w:rPr>
          <w:sz w:val="22"/>
          <w:szCs w:val="22"/>
        </w:rPr>
        <w:t>Standard</w:t>
      </w:r>
      <w:r w:rsidR="00C06593" w:rsidRPr="00CF7B4A">
        <w:rPr>
          <w:sz w:val="22"/>
          <w:szCs w:val="22"/>
        </w:rPr>
        <w:t xml:space="preserve"> Preferred S</w:t>
      </w:r>
      <w:r w:rsidR="00DD5F5D" w:rsidRPr="00CF7B4A">
        <w:rPr>
          <w:sz w:val="22"/>
          <w:szCs w:val="22"/>
        </w:rPr>
        <w:t>tock</w:t>
      </w:r>
      <w:r w:rsidR="00E50520">
        <w:rPr>
          <w:sz w:val="22"/>
          <w:szCs w:val="22"/>
        </w:rPr>
        <w:t xml:space="preserve">; or (2) </w:t>
      </w:r>
      <w:r w:rsidR="00CC41AA">
        <w:rPr>
          <w:sz w:val="22"/>
          <w:szCs w:val="22"/>
        </w:rPr>
        <w:t>the</w:t>
      </w:r>
      <w:r w:rsidR="00084EFC">
        <w:rPr>
          <w:sz w:val="22"/>
          <w:szCs w:val="22"/>
        </w:rPr>
        <w:t xml:space="preserve"> number of shares of Safe Preferred Stock equal to the</w:t>
      </w:r>
      <w:r w:rsidR="00AA01BC">
        <w:rPr>
          <w:sz w:val="22"/>
          <w:szCs w:val="22"/>
        </w:rPr>
        <w:t xml:space="preserve"> Purchase Amount divided by the </w:t>
      </w:r>
      <w:r w:rsidR="005E1EC5">
        <w:rPr>
          <w:sz w:val="22"/>
          <w:szCs w:val="22"/>
        </w:rPr>
        <w:t>Safe</w:t>
      </w:r>
      <w:r w:rsidR="00E50520">
        <w:rPr>
          <w:sz w:val="22"/>
          <w:szCs w:val="22"/>
        </w:rPr>
        <w:t xml:space="preserve"> Price.</w:t>
      </w:r>
      <w:r w:rsidR="00801F81">
        <w:rPr>
          <w:sz w:val="22"/>
          <w:szCs w:val="22"/>
        </w:rPr>
        <w:t xml:space="preserve">   </w:t>
      </w:r>
    </w:p>
    <w:p w14:paraId="01F46B82" w14:textId="27A5E69B" w:rsidR="00B65A2A" w:rsidRPr="005F2761" w:rsidRDefault="008A3FA1" w:rsidP="00CA70CF">
      <w:pPr>
        <w:tabs>
          <w:tab w:val="left" w:pos="360"/>
        </w:tabs>
        <w:autoSpaceDE w:val="0"/>
        <w:autoSpaceDN w:val="0"/>
        <w:adjustRightInd w:val="0"/>
        <w:ind w:left="-720" w:right="-360"/>
        <w:jc w:val="both"/>
        <w:rPr>
          <w:sz w:val="22"/>
          <w:szCs w:val="22"/>
        </w:rPr>
      </w:pPr>
      <w:r>
        <w:rPr>
          <w:sz w:val="22"/>
          <w:szCs w:val="22"/>
        </w:rPr>
        <w:tab/>
      </w:r>
      <w:r w:rsidR="006A1D97">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Standard Preferred Stock or Safe Preferred Stock</w:t>
      </w:r>
      <w:r w:rsidR="00504B4F">
        <w:rPr>
          <w:sz w:val="22"/>
          <w:szCs w:val="22"/>
        </w:rPr>
        <w:t>,</w:t>
      </w:r>
      <w:r w:rsidR="00ED6213">
        <w:rPr>
          <w:sz w:val="22"/>
          <w:szCs w:val="22"/>
        </w:rPr>
        <w:t xml:space="preserve"> the </w:t>
      </w:r>
      <w:r w:rsidR="00485AA0" w:rsidRPr="005F2761">
        <w:rPr>
          <w:sz w:val="22"/>
          <w:szCs w:val="22"/>
        </w:rPr>
        <w:t>Investor will</w:t>
      </w:r>
      <w:r w:rsidR="002758D1">
        <w:rPr>
          <w:sz w:val="22"/>
          <w:szCs w:val="22"/>
        </w:rPr>
        <w:t>:</w:t>
      </w:r>
      <w:r w:rsidR="00485AA0" w:rsidRPr="005F2761">
        <w:rPr>
          <w:sz w:val="22"/>
          <w:szCs w:val="22"/>
        </w:rPr>
        <w:t xml:space="preserve"> </w:t>
      </w:r>
      <w:bookmarkStart w:id="1" w:name="_Hlk54018476"/>
      <w:r w:rsidR="0020486E">
        <w:rPr>
          <w:sz w:val="22"/>
          <w:szCs w:val="22"/>
        </w:rPr>
        <w:t>(</w:t>
      </w:r>
      <w:r w:rsidR="00FD398A">
        <w:rPr>
          <w:sz w:val="22"/>
          <w:szCs w:val="22"/>
        </w:rPr>
        <w:t>1</w:t>
      </w:r>
      <w:r w:rsidR="0020486E">
        <w:rPr>
          <w:sz w:val="22"/>
          <w:szCs w:val="22"/>
        </w:rPr>
        <w:t xml:space="preserve">) provide </w:t>
      </w:r>
      <w:r w:rsidR="00E5598C">
        <w:rPr>
          <w:sz w:val="22"/>
          <w:szCs w:val="22"/>
        </w:rPr>
        <w:t>any</w:t>
      </w:r>
      <w:r w:rsidR="0020486E">
        <w:rPr>
          <w:sz w:val="22"/>
          <w:szCs w:val="22"/>
        </w:rPr>
        <w:t xml:space="preserve"> information </w:t>
      </w:r>
      <w:r w:rsidR="00E5598C">
        <w:rPr>
          <w:sz w:val="22"/>
          <w:szCs w:val="22"/>
        </w:rPr>
        <w:t xml:space="preserve">as may be </w:t>
      </w:r>
      <w:r w:rsidR="0020486E">
        <w:rPr>
          <w:sz w:val="22"/>
          <w:szCs w:val="22"/>
        </w:rPr>
        <w:t xml:space="preserve">requested by any regulator, governmental </w:t>
      </w:r>
      <w:r w:rsidR="00CB648B">
        <w:rPr>
          <w:sz w:val="22"/>
          <w:szCs w:val="22"/>
        </w:rPr>
        <w:t xml:space="preserve">body </w:t>
      </w:r>
      <w:r w:rsidR="0020486E">
        <w:rPr>
          <w:sz w:val="22"/>
          <w:szCs w:val="22"/>
        </w:rPr>
        <w:t xml:space="preserve">or quasi-governmental </w:t>
      </w:r>
      <w:r w:rsidR="00CB648B">
        <w:rPr>
          <w:sz w:val="22"/>
          <w:szCs w:val="22"/>
        </w:rPr>
        <w:t>body</w:t>
      </w:r>
      <w:r w:rsidR="0020486E">
        <w:rPr>
          <w:sz w:val="22"/>
          <w:szCs w:val="22"/>
        </w:rPr>
        <w:t xml:space="preserve"> having approval authority over such change in ownership; and (</w:t>
      </w:r>
      <w:r w:rsidR="00FD398A">
        <w:rPr>
          <w:sz w:val="22"/>
          <w:szCs w:val="22"/>
        </w:rPr>
        <w:t>2</w:t>
      </w:r>
      <w:r w:rsidR="0020486E">
        <w:rPr>
          <w:sz w:val="22"/>
          <w:szCs w:val="22"/>
        </w:rPr>
        <w:t xml:space="preserve">) </w:t>
      </w:r>
      <w:bookmarkEnd w:id="1"/>
      <w:r w:rsidR="00485AA0" w:rsidRPr="005F2761">
        <w:rPr>
          <w:sz w:val="22"/>
          <w:szCs w:val="22"/>
        </w:rPr>
        <w:t xml:space="preserve">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w:t>
      </w:r>
      <w:r w:rsidR="006104D3">
        <w:rPr>
          <w:sz w:val="22"/>
          <w:szCs w:val="22"/>
        </w:rPr>
        <w:t>(</w:t>
      </w:r>
      <w:proofErr w:type="spellStart"/>
      <w:r w:rsidR="006104D3">
        <w:rPr>
          <w:sz w:val="22"/>
          <w:szCs w:val="22"/>
        </w:rPr>
        <w:t>i</w:t>
      </w:r>
      <w:proofErr w:type="spellEnd"/>
      <w:r w:rsidR="006104D3">
        <w:rPr>
          <w:sz w:val="22"/>
          <w:szCs w:val="22"/>
        </w:rPr>
        <w:t xml:space="preserve">) </w:t>
      </w:r>
      <w:r w:rsidR="00485AA0" w:rsidRPr="005F2761">
        <w:rPr>
          <w:sz w:val="22"/>
          <w:szCs w:val="22"/>
        </w:rPr>
        <w:t xml:space="preserve">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w:t>
      </w:r>
      <w:r w:rsidR="006104D3">
        <w:rPr>
          <w:sz w:val="22"/>
          <w:szCs w:val="22"/>
        </w:rPr>
        <w:t>(ii)</w:t>
      </w:r>
      <w:r w:rsidR="00AE0C57">
        <w:rPr>
          <w:sz w:val="22"/>
          <w:szCs w:val="22"/>
        </w:rPr>
        <w:t xml:space="preserve"> have customary exceptions to any </w:t>
      </w:r>
      <w:r w:rsidR="0094346F">
        <w:rPr>
          <w:sz w:val="22"/>
          <w:szCs w:val="22"/>
        </w:rPr>
        <w:t xml:space="preserve">drag-along </w:t>
      </w:r>
      <w:r w:rsidR="00AE0C57">
        <w:rPr>
          <w:sz w:val="22"/>
          <w:szCs w:val="22"/>
        </w:rPr>
        <w:t>applicable to the Investor</w:t>
      </w:r>
      <w:r w:rsidR="0094346F">
        <w:rPr>
          <w:sz w:val="22"/>
          <w:szCs w:val="22"/>
        </w:rPr>
        <w:t>, including</w:t>
      </w:r>
      <w:r w:rsidR="006104D3">
        <w:rPr>
          <w:sz w:val="22"/>
          <w:szCs w:val="22"/>
        </w:rPr>
        <w:t xml:space="preserve"> (</w:t>
      </w:r>
      <w:r w:rsidR="00AE0C57">
        <w:rPr>
          <w:sz w:val="22"/>
          <w:szCs w:val="22"/>
        </w:rPr>
        <w:t>without limitation</w:t>
      </w:r>
      <w:r w:rsidR="006104D3">
        <w:rPr>
          <w:sz w:val="22"/>
          <w:szCs w:val="22"/>
        </w:rPr>
        <w:t>)</w:t>
      </w:r>
      <w:r w:rsidR="0094346F">
        <w:rPr>
          <w:sz w:val="22"/>
          <w:szCs w:val="22"/>
        </w:rPr>
        <w:t xml:space="preserve"> limited representations</w:t>
      </w:r>
      <w:r w:rsidR="006104D3">
        <w:rPr>
          <w:sz w:val="22"/>
          <w:szCs w:val="22"/>
        </w:rPr>
        <w:t>,</w:t>
      </w:r>
      <w:r w:rsidR="0094346F">
        <w:rPr>
          <w:sz w:val="22"/>
          <w:szCs w:val="22"/>
        </w:rPr>
        <w:t xml:space="preserve"> warranties</w:t>
      </w:r>
      <w:r w:rsidR="006104D3">
        <w:rPr>
          <w:sz w:val="22"/>
          <w:szCs w:val="22"/>
        </w:rPr>
        <w:t xml:space="preserve">, </w:t>
      </w:r>
      <w:r w:rsidR="0094346F">
        <w:rPr>
          <w:sz w:val="22"/>
          <w:szCs w:val="22"/>
        </w:rPr>
        <w:t>liability and indemnification obligati</w:t>
      </w:r>
      <w:r w:rsidR="00ED6213">
        <w:rPr>
          <w:sz w:val="22"/>
          <w:szCs w:val="22"/>
        </w:rPr>
        <w:t xml:space="preserve">ons </w:t>
      </w:r>
      <w:r w:rsidR="006104D3">
        <w:rPr>
          <w:sz w:val="22"/>
          <w:szCs w:val="22"/>
        </w:rPr>
        <w:t>for</w:t>
      </w:r>
      <w:r w:rsidR="00ED6213">
        <w:rPr>
          <w:sz w:val="22"/>
          <w:szCs w:val="22"/>
        </w:rPr>
        <w:t xml:space="preserve"> the Investor.</w:t>
      </w:r>
    </w:p>
    <w:p w14:paraId="18CD10DA" w14:textId="45E9773E" w:rsidR="000F540C" w:rsidRDefault="00D84744" w:rsidP="00CA70CF">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xml:space="preserve">, this Safe will automatically </w:t>
      </w:r>
      <w:r w:rsidR="005E0BDD">
        <w:rPr>
          <w:sz w:val="22"/>
          <w:szCs w:val="22"/>
        </w:rPr>
        <w:t xml:space="preserve">be entitled </w:t>
      </w:r>
      <w:r w:rsidR="00627523" w:rsidRPr="00DD096D">
        <w:rPr>
          <w:sz w:val="22"/>
          <w:szCs w:val="22"/>
        </w:rPr>
        <w:t>(subject to the liquidation priority set forth in Section 1(d) below</w:t>
      </w:r>
      <w:r w:rsidR="00CB648B">
        <w:rPr>
          <w:sz w:val="22"/>
          <w:szCs w:val="22"/>
        </w:rPr>
        <w:t xml:space="preserve"> and</w:t>
      </w:r>
      <w:r w:rsidR="00D10C07">
        <w:rPr>
          <w:sz w:val="22"/>
          <w:szCs w:val="22"/>
        </w:rPr>
        <w:t>, if applicable,</w:t>
      </w:r>
      <w:r w:rsidR="00CB648B">
        <w:rPr>
          <w:sz w:val="22"/>
          <w:szCs w:val="22"/>
        </w:rPr>
        <w:t xml:space="preserve"> any Regulatory Approval</w:t>
      </w:r>
      <w:r w:rsidR="00627523" w:rsidRPr="00DD096D">
        <w:rPr>
          <w:sz w:val="22"/>
          <w:szCs w:val="22"/>
        </w:rPr>
        <w:t>)</w:t>
      </w:r>
      <w:r w:rsidR="00627523">
        <w:rPr>
          <w:sz w:val="22"/>
          <w:szCs w:val="22"/>
        </w:rPr>
        <w:t xml:space="preserve">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of the Company’s security</w:t>
      </w:r>
      <w:r w:rsidR="001F6CA4">
        <w:rPr>
          <w:sz w:val="22"/>
          <w:szCs w:val="22"/>
        </w:rPr>
        <w:t>holders are given a choice</w:t>
      </w:r>
      <w:r w:rsidR="0055709A">
        <w:rPr>
          <w:sz w:val="22"/>
          <w:szCs w:val="22"/>
        </w:rPr>
        <w:t xml:space="preserve"> as to the form and amount of</w:t>
      </w:r>
      <w:r w:rsidR="001F6CA4">
        <w:rPr>
          <w:sz w:val="22"/>
          <w:szCs w:val="22"/>
        </w:rPr>
        <w:t xml:space="preserve"> 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 xml:space="preserve">receive as a result of the Investor’s failure </w:t>
      </w:r>
      <w:r w:rsidR="0055709A" w:rsidRPr="00DD666E">
        <w:rPr>
          <w:sz w:val="22"/>
          <w:szCs w:val="22"/>
        </w:rPr>
        <w:lastRenderedPageBreak/>
        <w:t>to satisfy any requirement</w:t>
      </w:r>
      <w:r w:rsidR="00FC21DC">
        <w:rPr>
          <w:sz w:val="22"/>
          <w:szCs w:val="22"/>
        </w:rPr>
        <w:t xml:space="preserve"> or</w:t>
      </w:r>
      <w:r w:rsidR="0055709A" w:rsidRPr="00DD666E">
        <w:rPr>
          <w:sz w:val="22"/>
          <w:szCs w:val="22"/>
        </w:rPr>
        <w:t xml:space="preserve"> limitation generally applicable to the Company’s securityholders</w:t>
      </w:r>
      <w:r w:rsidR="00FC21DC">
        <w:rPr>
          <w:sz w:val="22"/>
          <w:szCs w:val="22"/>
        </w:rPr>
        <w:t>, or under any applicable laws</w:t>
      </w:r>
      <w:r w:rsidR="0055709A" w:rsidRPr="00DD666E">
        <w:rPr>
          <w:sz w:val="22"/>
          <w:szCs w:val="22"/>
        </w:rPr>
        <w:t>.</w:t>
      </w:r>
    </w:p>
    <w:p w14:paraId="0E0C3EA3" w14:textId="77777777" w:rsidR="00380171" w:rsidRDefault="009008A9" w:rsidP="004D2810">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securityholders who have equal priority to the Investor under Section 1(d).</w:t>
      </w:r>
    </w:p>
    <w:p w14:paraId="06CBA99E" w14:textId="47806574" w:rsidR="004A3DF3" w:rsidRDefault="00A47D38" w:rsidP="00F65BDB">
      <w:pPr>
        <w:tabs>
          <w:tab w:val="left" w:pos="360"/>
        </w:tabs>
        <w:autoSpaceDE w:val="0"/>
        <w:autoSpaceDN w:val="0"/>
        <w:adjustRightInd w:val="0"/>
        <w:spacing w:after="24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w:t>
      </w:r>
      <w:r w:rsidR="006104D3" w:rsidRPr="00DD096D">
        <w:rPr>
          <w:sz w:val="22"/>
          <w:szCs w:val="22"/>
        </w:rPr>
        <w:t>(subject to the liquidation priority set forth in Section 1(d) below</w:t>
      </w:r>
      <w:r w:rsidR="00896DDC" w:rsidRPr="00896DDC">
        <w:rPr>
          <w:sz w:val="22"/>
          <w:szCs w:val="22"/>
        </w:rPr>
        <w:t xml:space="preserve"> </w:t>
      </w:r>
      <w:r w:rsidR="00896DDC">
        <w:rPr>
          <w:sz w:val="22"/>
          <w:szCs w:val="22"/>
        </w:rPr>
        <w:t>and</w:t>
      </w:r>
      <w:r w:rsidR="003E45C4">
        <w:rPr>
          <w:sz w:val="22"/>
          <w:szCs w:val="22"/>
        </w:rPr>
        <w:t xml:space="preserve"> </w:t>
      </w:r>
      <w:r w:rsidR="00896DDC">
        <w:rPr>
          <w:sz w:val="22"/>
          <w:szCs w:val="22"/>
        </w:rPr>
        <w:t>any Regulatory Approval</w:t>
      </w:r>
      <w:r w:rsidR="000A5C96">
        <w:rPr>
          <w:sz w:val="22"/>
          <w:szCs w:val="22"/>
        </w:rPr>
        <w:t xml:space="preserve"> or required notices, as applicable</w:t>
      </w:r>
      <w:r w:rsidR="006104D3" w:rsidRPr="00DD096D">
        <w:rPr>
          <w:sz w:val="22"/>
          <w:szCs w:val="22"/>
        </w:rPr>
        <w:t>)</w:t>
      </w:r>
      <w:r w:rsidR="006104D3">
        <w:rPr>
          <w:sz w:val="22"/>
          <w:szCs w:val="22"/>
        </w:rPr>
        <w:t xml:space="preserve"> </w:t>
      </w:r>
      <w:r w:rsidR="004A302C">
        <w:rPr>
          <w:sz w:val="22"/>
          <w:szCs w:val="22"/>
        </w:rPr>
        <w:t xml:space="preserve">to receive a portion of Proceeds 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14:paraId="4E36C0EE" w14:textId="77777777" w:rsidR="00FF5781" w:rsidRDefault="000F540C" w:rsidP="00CA70CF">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14:paraId="25943C96" w14:textId="77777777" w:rsidR="00FF5781" w:rsidRDefault="00FF5781" w:rsidP="00CA70CF">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roofErr w:type="gramStart"/>
      <w:r w:rsidR="00BF28BB">
        <w:rPr>
          <w:sz w:val="22"/>
          <w:szCs w:val="22"/>
        </w:rPr>
        <w:t>);</w:t>
      </w:r>
      <w:proofErr w:type="gramEnd"/>
    </w:p>
    <w:p w14:paraId="42E4FCF7" w14:textId="77777777" w:rsidR="00FF5781" w:rsidRDefault="00FF5781" w:rsidP="00042B53">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14:paraId="65C96B97" w14:textId="77777777" w:rsidR="004D4D1E" w:rsidRDefault="00FF5781" w:rsidP="004D4D1E">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14:paraId="7B317437" w14:textId="77777777" w:rsidR="00E957D8" w:rsidRDefault="000D7DF7" w:rsidP="004D4D1E">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 xml:space="preserve">. </w:t>
      </w:r>
    </w:p>
    <w:p w14:paraId="3344658E" w14:textId="566B6C3E" w:rsidR="0006032F" w:rsidRDefault="0006032F" w:rsidP="00CA70CF">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r w:rsidR="00E041BB" w:rsidRPr="00E041BB">
        <w:rPr>
          <w:sz w:val="22"/>
          <w:szCs w:val="22"/>
        </w:rPr>
        <w:t xml:space="preserve"> </w:t>
      </w:r>
      <w:r w:rsidR="00E041BB">
        <w:rPr>
          <w:sz w:val="22"/>
          <w:szCs w:val="22"/>
        </w:rPr>
        <w:t xml:space="preserve">In the event the Safe terminates in connection with </w:t>
      </w:r>
      <w:r w:rsidR="00B94608">
        <w:rPr>
          <w:sz w:val="22"/>
          <w:szCs w:val="22"/>
        </w:rPr>
        <w:t xml:space="preserve">the foregoing </w:t>
      </w:r>
      <w:r w:rsidR="00E041BB">
        <w:rPr>
          <w:sz w:val="22"/>
          <w:szCs w:val="22"/>
        </w:rPr>
        <w:t>clause (e)(</w:t>
      </w:r>
      <w:proofErr w:type="spellStart"/>
      <w:r w:rsidR="00E041BB">
        <w:rPr>
          <w:sz w:val="22"/>
          <w:szCs w:val="22"/>
        </w:rPr>
        <w:t>i</w:t>
      </w:r>
      <w:proofErr w:type="spellEnd"/>
      <w:r w:rsidR="00E041BB">
        <w:rPr>
          <w:sz w:val="22"/>
          <w:szCs w:val="22"/>
        </w:rPr>
        <w:t>), the transaction documents for such conversion shall</w:t>
      </w:r>
      <w:r w:rsidR="00E041BB" w:rsidRPr="00E041BB">
        <w:rPr>
          <w:sz w:val="22"/>
          <w:szCs w:val="22"/>
        </w:rPr>
        <w:t xml:space="preserve"> include a right for the Company to repurchase all shares of </w:t>
      </w:r>
      <w:r w:rsidR="00B94608">
        <w:rPr>
          <w:sz w:val="22"/>
          <w:szCs w:val="22"/>
        </w:rPr>
        <w:t>Standard Preferred Stock or Safe Preferred Stock</w:t>
      </w:r>
      <w:r w:rsidR="00E041BB">
        <w:rPr>
          <w:sz w:val="22"/>
          <w:szCs w:val="22"/>
        </w:rPr>
        <w:t xml:space="preserve"> issued pursuant to such conversion</w:t>
      </w:r>
      <w:r w:rsidR="00E041BB" w:rsidRPr="00E041BB">
        <w:rPr>
          <w:sz w:val="22"/>
          <w:szCs w:val="22"/>
        </w:rPr>
        <w:t xml:space="preserve"> from the Investor for the Purchase Amount, if Regulatory Approvals are denied and cannot be reasonably remedied after the Company has consulted with Investor in good faith</w:t>
      </w:r>
      <w:r w:rsidR="00B94608">
        <w:rPr>
          <w:sz w:val="22"/>
          <w:szCs w:val="22"/>
        </w:rPr>
        <w:t>.</w:t>
      </w:r>
    </w:p>
    <w:p w14:paraId="3764E767" w14:textId="2AEA15A8" w:rsidR="00792EC0" w:rsidRPr="000A5C96" w:rsidRDefault="00817577" w:rsidP="000A5C96">
      <w:pPr>
        <w:keepNext/>
        <w:tabs>
          <w:tab w:val="left" w:pos="360"/>
        </w:tabs>
        <w:autoSpaceDE w:val="0"/>
        <w:autoSpaceDN w:val="0"/>
        <w:adjustRightInd w:val="0"/>
        <w:ind w:left="-720" w:right="-360"/>
        <w:jc w:val="both"/>
        <w:rPr>
          <w:b/>
          <w:i/>
          <w:sz w:val="22"/>
          <w:szCs w:val="22"/>
        </w:rPr>
      </w:pPr>
      <w:r w:rsidRPr="009A27B9">
        <w:rPr>
          <w:b/>
          <w:sz w:val="22"/>
          <w:szCs w:val="22"/>
        </w:rPr>
        <w:t>2.</w:t>
      </w:r>
      <w:r w:rsidR="00412847" w:rsidRPr="009A27B9">
        <w:rPr>
          <w:b/>
          <w:sz w:val="22"/>
          <w:szCs w:val="22"/>
        </w:rPr>
        <w:tab/>
      </w:r>
      <w:r>
        <w:rPr>
          <w:b/>
          <w:i/>
          <w:sz w:val="22"/>
          <w:szCs w:val="22"/>
        </w:rPr>
        <w:t>Definitio</w:t>
      </w:r>
      <w:r w:rsidR="00846D58">
        <w:rPr>
          <w:b/>
          <w:i/>
          <w:sz w:val="22"/>
          <w:szCs w:val="22"/>
        </w:rPr>
        <w:t>n</w:t>
      </w:r>
      <w:r w:rsidR="00785568">
        <w:rPr>
          <w:b/>
          <w:i/>
          <w:sz w:val="22"/>
          <w:szCs w:val="22"/>
        </w:rPr>
        <w:t>s</w:t>
      </w:r>
      <w:r w:rsidR="000A5C96">
        <w:rPr>
          <w:b/>
          <w:i/>
          <w:sz w:val="22"/>
          <w:szCs w:val="22"/>
        </w:rPr>
        <w:br/>
      </w:r>
    </w:p>
    <w:p w14:paraId="2173F3DC" w14:textId="350E2845" w:rsidR="00246B08" w:rsidRDefault="00792EC0" w:rsidP="00F65BDB">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 xml:space="preserve">.”  </w:t>
      </w:r>
    </w:p>
    <w:p w14:paraId="785EF7A4" w14:textId="77777777" w:rsidR="00817577" w:rsidRDefault="00246B08" w:rsidP="00246B08">
      <w:pPr>
        <w:tabs>
          <w:tab w:val="left" w:pos="360"/>
        </w:tabs>
        <w:autoSpaceDE w:val="0"/>
        <w:autoSpaceDN w:val="0"/>
        <w:adjustRightInd w:val="0"/>
        <w:spacing w:before="0" w:after="240"/>
        <w:ind w:left="-720" w:right="-36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p>
    <w:p w14:paraId="6E4F3BAC" w14:textId="3809584D" w:rsidR="00142A88" w:rsidRPr="00142A88" w:rsidRDefault="00142A88" w:rsidP="00E906B4">
      <w:pPr>
        <w:ind w:left="-720" w:right="-360"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sidR="003F593D">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sidR="003F593D">
        <w:rPr>
          <w:rStyle w:val="DeltaViewDeletion"/>
          <w:strike w:val="0"/>
          <w:color w:val="000000"/>
          <w:sz w:val="22"/>
          <w:szCs w:val="22"/>
        </w:rPr>
        <w:t xml:space="preserve"> and</w:t>
      </w:r>
      <w:r w:rsidR="00E4296F">
        <w:rPr>
          <w:rStyle w:val="DeltaViewDeletion"/>
          <w:strike w:val="0"/>
          <w:color w:val="000000"/>
          <w:sz w:val="22"/>
          <w:szCs w:val="22"/>
        </w:rPr>
        <w:t xml:space="preserve"> (without double-counting</w:t>
      </w:r>
      <w:r w:rsidR="006104D3" w:rsidRPr="006104D3">
        <w:rPr>
          <w:rStyle w:val="DeltaViewDeletion"/>
          <w:strike w:val="0"/>
          <w:color w:val="000000"/>
          <w:sz w:val="22"/>
          <w:szCs w:val="22"/>
        </w:rPr>
        <w:t>, in each case calculated on an as-converted to Common Stock basis</w:t>
      </w:r>
      <w:r w:rsidR="00E4296F">
        <w:rPr>
          <w:rStyle w:val="DeltaViewDeletion"/>
          <w:strike w:val="0"/>
          <w:color w:val="000000"/>
          <w:sz w:val="22"/>
          <w:szCs w:val="22"/>
        </w:rPr>
        <w:t>)</w:t>
      </w:r>
      <w:r w:rsidRPr="00142A88">
        <w:rPr>
          <w:rStyle w:val="DeltaViewDeletion"/>
          <w:strike w:val="0"/>
          <w:color w:val="000000"/>
          <w:sz w:val="22"/>
          <w:szCs w:val="22"/>
        </w:rPr>
        <w:t>:</w:t>
      </w:r>
    </w:p>
    <w:p w14:paraId="70B1214E" w14:textId="77777777" w:rsidR="00DD2BF6" w:rsidRDefault="00DD2BF6" w:rsidP="00F15776">
      <w:pPr>
        <w:pStyle w:val="ListParagraph"/>
        <w:numPr>
          <w:ilvl w:val="0"/>
          <w:numId w:val="24"/>
        </w:numPr>
        <w:spacing w:before="120"/>
        <w:ind w:left="0" w:right="-360" w:firstLine="360"/>
        <w:contextualSpacing w:val="0"/>
        <w:jc w:val="both"/>
        <w:rPr>
          <w:rStyle w:val="DeltaViewDeletion"/>
          <w:strike w:val="0"/>
          <w:color w:val="000000"/>
          <w:sz w:val="22"/>
          <w:szCs w:val="22"/>
        </w:rPr>
      </w:pPr>
      <w:r>
        <w:rPr>
          <w:rStyle w:val="DeltaViewDeletion"/>
          <w:strike w:val="0"/>
          <w:color w:val="000000"/>
          <w:sz w:val="22"/>
          <w:szCs w:val="22"/>
        </w:rPr>
        <w:t xml:space="preserve">Includes all shares of Capital Stock issued and </w:t>
      </w:r>
      <w:proofErr w:type="gramStart"/>
      <w:r>
        <w:rPr>
          <w:rStyle w:val="DeltaViewDeletion"/>
          <w:strike w:val="0"/>
          <w:color w:val="000000"/>
          <w:sz w:val="22"/>
          <w:szCs w:val="22"/>
        </w:rPr>
        <w:t>outstanding;</w:t>
      </w:r>
      <w:proofErr w:type="gramEnd"/>
    </w:p>
    <w:p w14:paraId="565795DC" w14:textId="77777777" w:rsidR="00F15776" w:rsidRDefault="00142A88"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142A88">
        <w:rPr>
          <w:rStyle w:val="DeltaViewDeletion"/>
          <w:strike w:val="0"/>
          <w:color w:val="000000"/>
          <w:sz w:val="22"/>
          <w:szCs w:val="22"/>
        </w:rPr>
        <w:t xml:space="preserve">Includes all Converting </w:t>
      </w:r>
      <w:proofErr w:type="gramStart"/>
      <w:r w:rsidRPr="00142A88">
        <w:rPr>
          <w:rStyle w:val="DeltaViewDeletion"/>
          <w:strike w:val="0"/>
          <w:color w:val="000000"/>
          <w:sz w:val="22"/>
          <w:szCs w:val="22"/>
        </w:rPr>
        <w:t>Securities;</w:t>
      </w:r>
      <w:proofErr w:type="gramEnd"/>
    </w:p>
    <w:p w14:paraId="791D01BE" w14:textId="598D5E22" w:rsidR="00F769BD" w:rsidRPr="00F15776" w:rsidRDefault="00F769BD" w:rsidP="00F15776">
      <w:pPr>
        <w:pStyle w:val="ListParagraph"/>
        <w:numPr>
          <w:ilvl w:val="0"/>
          <w:numId w:val="24"/>
        </w:numPr>
        <w:spacing w:before="220" w:after="220"/>
        <w:ind w:left="0" w:right="-360" w:firstLine="360"/>
        <w:jc w:val="both"/>
        <w:rPr>
          <w:rStyle w:val="DeltaViewDeletion"/>
          <w:strike w:val="0"/>
          <w:color w:val="000000"/>
          <w:sz w:val="22"/>
          <w:szCs w:val="22"/>
        </w:rPr>
      </w:pPr>
      <w:r w:rsidRPr="00F15776">
        <w:rPr>
          <w:rStyle w:val="DeltaViewDeletion"/>
          <w:strike w:val="0"/>
          <w:color w:val="000000"/>
          <w:sz w:val="22"/>
          <w:szCs w:val="22"/>
        </w:rPr>
        <w:t xml:space="preserve">Includes all </w:t>
      </w:r>
      <w:r w:rsidR="00667425" w:rsidRPr="00F15776">
        <w:rPr>
          <w:rStyle w:val="DeltaViewDeletion"/>
          <w:strike w:val="0"/>
          <w:color w:val="000000"/>
          <w:sz w:val="22"/>
          <w:szCs w:val="22"/>
        </w:rPr>
        <w:t>(</w:t>
      </w:r>
      <w:proofErr w:type="spellStart"/>
      <w:r w:rsidR="00667425" w:rsidRPr="00F15776">
        <w:rPr>
          <w:rStyle w:val="DeltaViewDeletion"/>
          <w:strike w:val="0"/>
          <w:color w:val="000000"/>
          <w:sz w:val="22"/>
          <w:szCs w:val="22"/>
        </w:rPr>
        <w:t>i</w:t>
      </w:r>
      <w:proofErr w:type="spellEnd"/>
      <w:r w:rsidR="00667425" w:rsidRPr="00F15776">
        <w:rPr>
          <w:rStyle w:val="DeltaViewDeletion"/>
          <w:strike w:val="0"/>
          <w:color w:val="000000"/>
          <w:sz w:val="22"/>
          <w:szCs w:val="22"/>
        </w:rPr>
        <w:t xml:space="preserve">) </w:t>
      </w:r>
      <w:r w:rsidRPr="00F15776">
        <w:rPr>
          <w:rStyle w:val="DeltaViewDeletion"/>
          <w:strike w:val="0"/>
          <w:color w:val="000000"/>
          <w:sz w:val="22"/>
          <w:szCs w:val="22"/>
        </w:rPr>
        <w:t xml:space="preserve">issued and outstanding </w:t>
      </w:r>
      <w:r w:rsidR="00637A58" w:rsidRPr="00F15776">
        <w:rPr>
          <w:rStyle w:val="DeltaViewDeletion"/>
          <w:strike w:val="0"/>
          <w:color w:val="000000"/>
          <w:sz w:val="22"/>
          <w:szCs w:val="22"/>
        </w:rPr>
        <w:t>Options</w:t>
      </w:r>
      <w:r w:rsidR="00667425" w:rsidRPr="00F15776">
        <w:rPr>
          <w:rStyle w:val="DeltaViewDeletion"/>
          <w:strike w:val="0"/>
          <w:color w:val="000000"/>
          <w:sz w:val="22"/>
          <w:szCs w:val="22"/>
        </w:rPr>
        <w:t xml:space="preserve"> and (ii) Promised Options</w:t>
      </w:r>
      <w:r w:rsidR="0075197D" w:rsidRPr="00F15776">
        <w:rPr>
          <w:rStyle w:val="DeltaViewDeletion"/>
          <w:strike w:val="0"/>
          <w:color w:val="000000"/>
          <w:sz w:val="22"/>
          <w:szCs w:val="22"/>
        </w:rPr>
        <w:t>;</w:t>
      </w:r>
      <w:r w:rsidR="00667425" w:rsidRPr="00F15776">
        <w:rPr>
          <w:rStyle w:val="DeltaViewDeletion"/>
          <w:strike w:val="0"/>
          <w:color w:val="000000"/>
          <w:sz w:val="22"/>
          <w:szCs w:val="22"/>
        </w:rPr>
        <w:t xml:space="preserve"> </w:t>
      </w:r>
      <w:r w:rsidR="006104D3">
        <w:rPr>
          <w:rStyle w:val="DeltaViewDeletion"/>
          <w:strike w:val="0"/>
          <w:color w:val="000000"/>
          <w:sz w:val="22"/>
          <w:szCs w:val="22"/>
        </w:rPr>
        <w:t>and</w:t>
      </w:r>
    </w:p>
    <w:p w14:paraId="6248D943" w14:textId="55A3B353" w:rsidR="0045791F" w:rsidRPr="006104D3" w:rsidRDefault="009A52B9" w:rsidP="00712588">
      <w:pPr>
        <w:pStyle w:val="ListParagraph"/>
        <w:numPr>
          <w:ilvl w:val="0"/>
          <w:numId w:val="24"/>
        </w:numPr>
        <w:spacing w:before="220" w:after="220"/>
        <w:ind w:left="0" w:right="-360" w:firstLine="360"/>
        <w:jc w:val="both"/>
        <w:rPr>
          <w:rStyle w:val="DeltaViewDeletion"/>
          <w:strike w:val="0"/>
          <w:color w:val="000000"/>
          <w:sz w:val="22"/>
          <w:szCs w:val="22"/>
        </w:rPr>
      </w:pPr>
      <w:r>
        <w:rPr>
          <w:rStyle w:val="DeltaViewDeletion"/>
          <w:strike w:val="0"/>
          <w:color w:val="000000"/>
          <w:sz w:val="22"/>
          <w:szCs w:val="22"/>
        </w:rPr>
        <w:t>Includes the Unissued Option Pool</w:t>
      </w:r>
      <w:r w:rsidR="00D35451">
        <w:rPr>
          <w:rStyle w:val="DeltaViewDeletion"/>
          <w:strike w:val="0"/>
          <w:color w:val="000000"/>
          <w:sz w:val="22"/>
          <w:szCs w:val="22"/>
        </w:rPr>
        <w:t>,</w:t>
      </w:r>
      <w:r w:rsidR="00526A95">
        <w:rPr>
          <w:rStyle w:val="DeltaViewDeletion"/>
          <w:strike w:val="0"/>
          <w:color w:val="000000"/>
          <w:sz w:val="22"/>
          <w:szCs w:val="22"/>
        </w:rPr>
        <w:t xml:space="preserve"> </w:t>
      </w:r>
      <w:r w:rsidR="006104D3">
        <w:rPr>
          <w:rStyle w:val="DeltaViewDeletion"/>
          <w:strike w:val="0"/>
          <w:color w:val="000000"/>
          <w:sz w:val="22"/>
          <w:szCs w:val="22"/>
        </w:rPr>
        <w:t xml:space="preserve">except that </w:t>
      </w:r>
      <w:r w:rsidR="00B60E68" w:rsidRPr="006104D3">
        <w:rPr>
          <w:rStyle w:val="DeltaViewDeletion"/>
          <w:strike w:val="0"/>
          <w:color w:val="000000"/>
          <w:sz w:val="22"/>
          <w:szCs w:val="22"/>
        </w:rPr>
        <w:t xml:space="preserve">any increase to </w:t>
      </w:r>
      <w:r w:rsidR="003059F0" w:rsidRPr="006104D3">
        <w:rPr>
          <w:rStyle w:val="DeltaViewDeletion"/>
          <w:strike w:val="0"/>
          <w:color w:val="000000"/>
          <w:sz w:val="22"/>
          <w:szCs w:val="22"/>
        </w:rPr>
        <w:t>the Unissued Option Pool</w:t>
      </w:r>
      <w:r w:rsidR="00B60E68" w:rsidRPr="006104D3">
        <w:rPr>
          <w:rStyle w:val="DeltaViewDeletion"/>
          <w:strike w:val="0"/>
          <w:color w:val="000000"/>
          <w:sz w:val="22"/>
          <w:szCs w:val="22"/>
        </w:rPr>
        <w:t xml:space="preserve"> </w:t>
      </w:r>
      <w:r w:rsidR="00671B11" w:rsidRPr="006104D3">
        <w:rPr>
          <w:rStyle w:val="DeltaViewDeletion"/>
          <w:strike w:val="0"/>
          <w:color w:val="000000"/>
          <w:sz w:val="22"/>
          <w:szCs w:val="22"/>
        </w:rPr>
        <w:t>in connection with</w:t>
      </w:r>
      <w:r w:rsidR="00A67056" w:rsidRPr="006104D3">
        <w:rPr>
          <w:rStyle w:val="DeltaViewDeletion"/>
          <w:strike w:val="0"/>
          <w:color w:val="000000"/>
          <w:sz w:val="22"/>
          <w:szCs w:val="22"/>
        </w:rPr>
        <w:t xml:space="preserve"> </w:t>
      </w:r>
      <w:r w:rsidR="00FA76CA" w:rsidRPr="006104D3">
        <w:rPr>
          <w:rStyle w:val="DeltaViewDeletion"/>
          <w:strike w:val="0"/>
          <w:color w:val="000000"/>
          <w:sz w:val="22"/>
          <w:szCs w:val="22"/>
        </w:rPr>
        <w:t>the</w:t>
      </w:r>
      <w:r w:rsidR="00B60E68" w:rsidRPr="006104D3">
        <w:rPr>
          <w:rStyle w:val="DeltaViewDeletion"/>
          <w:strike w:val="0"/>
          <w:color w:val="000000"/>
          <w:sz w:val="22"/>
          <w:szCs w:val="22"/>
        </w:rPr>
        <w:t xml:space="preserve"> Equity Financing</w:t>
      </w:r>
      <w:r w:rsidR="006104D3">
        <w:rPr>
          <w:rStyle w:val="DeltaViewDeletion"/>
          <w:strike w:val="0"/>
          <w:color w:val="000000"/>
          <w:sz w:val="22"/>
          <w:szCs w:val="22"/>
        </w:rPr>
        <w:t xml:space="preserve"> shall only be included </w:t>
      </w:r>
      <w:r w:rsidR="006104D3" w:rsidRPr="006104D3">
        <w:rPr>
          <w:rStyle w:val="DeltaViewDeletion"/>
          <w:strike w:val="0"/>
          <w:color w:val="000000"/>
          <w:sz w:val="22"/>
          <w:szCs w:val="22"/>
        </w:rPr>
        <w:t>to the extent that the number of Promised Options exceeds the Unissued Option Pool prior to such increase</w:t>
      </w:r>
      <w:r w:rsidR="00563D6A" w:rsidRPr="006104D3">
        <w:rPr>
          <w:rStyle w:val="DeltaViewDeletion"/>
          <w:strike w:val="0"/>
          <w:color w:val="000000"/>
          <w:sz w:val="22"/>
          <w:szCs w:val="22"/>
        </w:rPr>
        <w:t>.</w:t>
      </w:r>
    </w:p>
    <w:p w14:paraId="1FC3B9B5" w14:textId="77777777" w:rsidR="0045791F" w:rsidRPr="0045791F" w:rsidRDefault="0045791F" w:rsidP="0045791F">
      <w:pPr>
        <w:spacing w:before="220" w:after="220"/>
        <w:ind w:left="-720" w:right="-360"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w:t>
      </w:r>
      <w:proofErr w:type="spellStart"/>
      <w:r w:rsidRPr="001023B3">
        <w:rPr>
          <w:sz w:val="22"/>
          <w:szCs w:val="22"/>
        </w:rPr>
        <w:t>i</w:t>
      </w:r>
      <w:proofErr w:type="spellEnd"/>
      <w:r w:rsidRPr="001023B3">
        <w:rPr>
          <w:sz w:val="22"/>
          <w:szCs w:val="22"/>
        </w:rPr>
        <w:t xml:space="preserve">) other Safes; (ii) convertible promissory notes and other convertible debt instruments; and (iii) convertible securities that have the right to convert into shares of Capital Stock.  </w:t>
      </w:r>
    </w:p>
    <w:p w14:paraId="64C462B9" w14:textId="77777777" w:rsidR="00712588" w:rsidRDefault="005C6652" w:rsidP="00F65BDB">
      <w:pPr>
        <w:tabs>
          <w:tab w:val="left" w:pos="360"/>
        </w:tabs>
        <w:autoSpaceDE w:val="0"/>
        <w:autoSpaceDN w:val="0"/>
        <w:adjustRightInd w:val="0"/>
        <w:spacing w:before="0" w:after="240"/>
        <w:ind w:left="-720" w:right="-360"/>
        <w:jc w:val="both"/>
        <w:rPr>
          <w:sz w:val="22"/>
          <w:szCs w:val="22"/>
        </w:rPr>
      </w:pPr>
      <w:r>
        <w:rPr>
          <w:sz w:val="22"/>
          <w:szCs w:val="22"/>
        </w:rPr>
        <w:tab/>
      </w:r>
      <w:r w:rsidR="00712588">
        <w:rPr>
          <w:sz w:val="22"/>
          <w:szCs w:val="22"/>
        </w:rPr>
        <w:t>“</w:t>
      </w:r>
      <w:r w:rsidR="00712588" w:rsidRPr="00D4221D">
        <w:rPr>
          <w:b/>
          <w:sz w:val="22"/>
          <w:szCs w:val="22"/>
        </w:rPr>
        <w:t>Direct Listing</w:t>
      </w:r>
      <w:r w:rsidR="00712588">
        <w:rPr>
          <w:sz w:val="22"/>
          <w:szCs w:val="22"/>
        </w:rPr>
        <w:t xml:space="preserve">” means </w:t>
      </w:r>
      <w:r w:rsidR="00712588" w:rsidRPr="00D4221D">
        <w:rPr>
          <w:sz w:val="22"/>
          <w:szCs w:val="22"/>
        </w:rPr>
        <w:t>the Co</w:t>
      </w:r>
      <w:r w:rsidR="00712588">
        <w:rPr>
          <w:sz w:val="22"/>
          <w:szCs w:val="22"/>
        </w:rPr>
        <w:t>mpany’s initial listing of its Common Stock (other than shares of Common S</w:t>
      </w:r>
      <w:r w:rsidR="00712588" w:rsidRPr="00D4221D">
        <w:rPr>
          <w:sz w:val="22"/>
          <w:szCs w:val="22"/>
        </w:rPr>
        <w:t>tock not eligible for resale under Rule 144</w:t>
      </w:r>
      <w:r w:rsidR="00712588">
        <w:rPr>
          <w:sz w:val="22"/>
          <w:szCs w:val="22"/>
        </w:rPr>
        <w:t xml:space="preserve"> under the Securities Act</w:t>
      </w:r>
      <w:r w:rsidR="00712588"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12588">
        <w:rPr>
          <w:sz w:val="22"/>
          <w:szCs w:val="22"/>
        </w:rPr>
        <w:t>b</w:t>
      </w:r>
      <w:r w:rsidR="00712588" w:rsidRPr="00D4221D">
        <w:rPr>
          <w:sz w:val="22"/>
          <w:szCs w:val="22"/>
        </w:rPr>
        <w:t xml:space="preserve">oard of </w:t>
      </w:r>
      <w:r w:rsidR="00712588">
        <w:rPr>
          <w:sz w:val="22"/>
          <w:szCs w:val="22"/>
        </w:rPr>
        <w:t>d</w:t>
      </w:r>
      <w:r w:rsidR="00712588" w:rsidRPr="00D4221D">
        <w:rPr>
          <w:sz w:val="22"/>
          <w:szCs w:val="22"/>
        </w:rPr>
        <w:t>irectors</w:t>
      </w:r>
      <w:r w:rsidR="00712588">
        <w:rPr>
          <w:sz w:val="22"/>
          <w:szCs w:val="22"/>
        </w:rPr>
        <w:t>. For</w:t>
      </w:r>
      <w:r w:rsidR="00712588" w:rsidRPr="0019661C">
        <w:rPr>
          <w:sz w:val="22"/>
          <w:szCs w:val="22"/>
        </w:rPr>
        <w:t xml:space="preserve"> the avoidance of doubt, a Direct Listing shall not be deemed to be an underwritten offering and shall not involve any underwriting services</w:t>
      </w:r>
      <w:r w:rsidR="00712588">
        <w:rPr>
          <w:sz w:val="22"/>
          <w:szCs w:val="22"/>
        </w:rPr>
        <w:t xml:space="preserve">. </w:t>
      </w:r>
    </w:p>
    <w:p w14:paraId="32B80A7B" w14:textId="375F9493" w:rsidR="006F37FE" w:rsidRDefault="00712588" w:rsidP="00F65BDB">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5976CD39" w14:textId="77777777" w:rsidR="00FA321E" w:rsidRDefault="00FA321E" w:rsidP="00F65BDB">
      <w:pPr>
        <w:tabs>
          <w:tab w:val="left" w:pos="360"/>
        </w:tabs>
        <w:autoSpaceDE w:val="0"/>
        <w:autoSpaceDN w:val="0"/>
        <w:adjustRightInd w:val="0"/>
        <w:spacing w:before="0" w:after="240"/>
        <w:ind w:left="-720" w:right="-360"/>
        <w:jc w:val="both"/>
        <w:rPr>
          <w:sz w:val="22"/>
          <w:szCs w:val="22"/>
        </w:rPr>
      </w:pPr>
      <w:r>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3DABFAEB" w14:textId="77777777" w:rsidR="0043111A" w:rsidRDefault="006F37FE" w:rsidP="00F65BDB">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14:paraId="09C5E2D7" w14:textId="77777777" w:rsidR="00F43A4F" w:rsidRPr="00F43A4F" w:rsidRDefault="00752AF8" w:rsidP="00F65BDB">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079C00F0" w14:textId="04234B9A" w:rsidR="00DD2BF6" w:rsidRDefault="00F43A4F" w:rsidP="00E906B4">
      <w:pPr>
        <w:tabs>
          <w:tab w:val="left" w:pos="360"/>
        </w:tabs>
        <w:autoSpaceDE w:val="0"/>
        <w:autoSpaceDN w:val="0"/>
        <w:adjustRightInd w:val="0"/>
        <w:spacing w:before="0" w:after="120"/>
        <w:ind w:left="-720" w:right="-360"/>
        <w:jc w:val="both"/>
        <w:rPr>
          <w:rStyle w:val="DeltaViewDeletion"/>
          <w:strike w:val="0"/>
          <w:color w:val="000000"/>
          <w:sz w:val="22"/>
          <w:szCs w:val="22"/>
        </w:rPr>
      </w:pPr>
      <w:r>
        <w:rPr>
          <w:sz w:val="22"/>
          <w:szCs w:val="22"/>
        </w:rPr>
        <w:tab/>
      </w:r>
      <w:r w:rsidR="004514BE">
        <w:rPr>
          <w:sz w:val="22"/>
          <w:szCs w:val="22"/>
        </w:rPr>
        <w:t>“</w:t>
      </w:r>
      <w:r w:rsidR="004514BE" w:rsidRPr="002600BF">
        <w:rPr>
          <w:b/>
          <w:sz w:val="22"/>
          <w:szCs w:val="22"/>
        </w:rPr>
        <w:t>Liquidity Capitalization</w:t>
      </w:r>
      <w:r w:rsidR="004514BE" w:rsidRPr="002600BF">
        <w:rPr>
          <w:sz w:val="22"/>
          <w:szCs w:val="22"/>
        </w:rPr>
        <w:t xml:space="preserve">” </w:t>
      </w:r>
      <w:r w:rsidR="00E22BAA">
        <w:rPr>
          <w:sz w:val="22"/>
          <w:szCs w:val="22"/>
        </w:rPr>
        <w:t xml:space="preserve">is calculated as of </w:t>
      </w:r>
      <w:r w:rsidR="004C5DA0">
        <w:rPr>
          <w:rStyle w:val="DeltaViewDeletion"/>
          <w:strike w:val="0"/>
          <w:color w:val="auto"/>
          <w:sz w:val="22"/>
          <w:szCs w:val="22"/>
        </w:rPr>
        <w:t xml:space="preserve">immediately prior to the </w:t>
      </w:r>
      <w:r w:rsidR="00D856AD">
        <w:rPr>
          <w:rStyle w:val="DeltaViewDeletion"/>
          <w:strike w:val="0"/>
          <w:color w:val="auto"/>
          <w:sz w:val="22"/>
          <w:szCs w:val="22"/>
        </w:rPr>
        <w:t>Liquidity Event</w:t>
      </w:r>
      <w:r w:rsidR="004C5DA0">
        <w:rPr>
          <w:rStyle w:val="DeltaViewDeletion"/>
          <w:strike w:val="0"/>
          <w:color w:val="auto"/>
          <w:sz w:val="22"/>
          <w:szCs w:val="22"/>
        </w:rPr>
        <w:t>,</w:t>
      </w:r>
      <w:r w:rsidR="004C5DA0">
        <w:rPr>
          <w:sz w:val="22"/>
          <w:szCs w:val="22"/>
        </w:rPr>
        <w:t xml:space="preserve"> </w:t>
      </w:r>
      <w:r w:rsidR="002821F7">
        <w:rPr>
          <w:sz w:val="22"/>
          <w:szCs w:val="22"/>
        </w:rPr>
        <w:t>and (without double- counting</w:t>
      </w:r>
      <w:r w:rsidR="006104D3">
        <w:rPr>
          <w:sz w:val="22"/>
          <w:szCs w:val="22"/>
        </w:rPr>
        <w:t xml:space="preserve">, </w:t>
      </w:r>
      <w:r w:rsidR="006104D3" w:rsidRPr="006104D3">
        <w:rPr>
          <w:sz w:val="22"/>
          <w:szCs w:val="22"/>
        </w:rPr>
        <w:t>in each case calculated on an as-c</w:t>
      </w:r>
      <w:r w:rsidR="006104D3">
        <w:rPr>
          <w:sz w:val="22"/>
          <w:szCs w:val="22"/>
        </w:rPr>
        <w:t>onverted to Common Stock basis)</w:t>
      </w:r>
      <w:r w:rsidR="002821F7">
        <w:rPr>
          <w:sz w:val="22"/>
          <w:szCs w:val="22"/>
        </w:rPr>
        <w:t xml:space="preserve">: </w:t>
      </w:r>
    </w:p>
    <w:p w14:paraId="06DCBED3" w14:textId="77777777" w:rsidR="004B6D39" w:rsidRDefault="004B6D3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 xml:space="preserve">Includes all shares of Capital Stock issued and </w:t>
      </w:r>
      <w:proofErr w:type="gramStart"/>
      <w:r>
        <w:rPr>
          <w:rStyle w:val="DeltaViewDeletion"/>
          <w:strike w:val="0"/>
          <w:color w:val="000000"/>
          <w:sz w:val="22"/>
          <w:szCs w:val="22"/>
        </w:rPr>
        <w:t>outstanding;</w:t>
      </w:r>
      <w:proofErr w:type="gramEnd"/>
    </w:p>
    <w:p w14:paraId="5D914AA4" w14:textId="77777777" w:rsid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Pr>
          <w:rStyle w:val="DeltaViewDeletion"/>
          <w:strike w:val="0"/>
          <w:color w:val="000000"/>
          <w:sz w:val="22"/>
          <w:szCs w:val="22"/>
        </w:rPr>
        <w:t>Includes all</w:t>
      </w:r>
      <w:r w:rsidR="00A92C56">
        <w:rPr>
          <w:rStyle w:val="DeltaViewDeletion"/>
          <w:strike w:val="0"/>
          <w:color w:val="000000"/>
          <w:sz w:val="22"/>
          <w:szCs w:val="22"/>
        </w:rPr>
        <w:t xml:space="preserve"> (</w:t>
      </w:r>
      <w:proofErr w:type="spellStart"/>
      <w:r w:rsidR="00A92C56">
        <w:rPr>
          <w:rStyle w:val="DeltaViewDeletion"/>
          <w:strike w:val="0"/>
          <w:color w:val="000000"/>
          <w:sz w:val="22"/>
          <w:szCs w:val="22"/>
        </w:rPr>
        <w:t>i</w:t>
      </w:r>
      <w:proofErr w:type="spellEnd"/>
      <w:r w:rsidR="00A92C56">
        <w:rPr>
          <w:rStyle w:val="DeltaViewDeletion"/>
          <w:strike w:val="0"/>
          <w:color w:val="000000"/>
          <w:sz w:val="22"/>
          <w:szCs w:val="22"/>
        </w:rPr>
        <w:t>)</w:t>
      </w:r>
      <w:r w:rsidR="0071041E">
        <w:rPr>
          <w:rStyle w:val="DeltaViewDeletion"/>
          <w:strike w:val="0"/>
          <w:color w:val="000000"/>
          <w:sz w:val="22"/>
          <w:szCs w:val="22"/>
        </w:rPr>
        <w:t xml:space="preserve"> </w:t>
      </w:r>
      <w:r>
        <w:rPr>
          <w:rStyle w:val="DeltaViewDeletion"/>
          <w:strike w:val="0"/>
          <w:color w:val="000000"/>
          <w:sz w:val="22"/>
          <w:szCs w:val="22"/>
        </w:rPr>
        <w:t>issued and outstanding</w:t>
      </w:r>
      <w:r w:rsidR="0082254A">
        <w:rPr>
          <w:rStyle w:val="DeltaViewDeletion"/>
          <w:strike w:val="0"/>
          <w:color w:val="000000"/>
          <w:sz w:val="22"/>
          <w:szCs w:val="22"/>
        </w:rPr>
        <w:t xml:space="preserve"> Options</w:t>
      </w:r>
      <w:r w:rsidR="00A92C56">
        <w:rPr>
          <w:rStyle w:val="DeltaViewDeletion"/>
          <w:strike w:val="0"/>
          <w:color w:val="000000"/>
          <w:sz w:val="22"/>
          <w:szCs w:val="22"/>
        </w:rPr>
        <w:t xml:space="preserve"> and (ii) to the extent receiving Proceeds, Promised </w:t>
      </w:r>
      <w:proofErr w:type="gramStart"/>
      <w:r w:rsidR="00A92C56">
        <w:rPr>
          <w:rStyle w:val="DeltaViewDeletion"/>
          <w:strike w:val="0"/>
          <w:color w:val="000000"/>
          <w:sz w:val="22"/>
          <w:szCs w:val="22"/>
        </w:rPr>
        <w:t>Options</w:t>
      </w:r>
      <w:r w:rsidR="0071041E">
        <w:rPr>
          <w:rStyle w:val="DeltaViewDeletion"/>
          <w:strike w:val="0"/>
          <w:color w:val="000000"/>
          <w:sz w:val="22"/>
          <w:szCs w:val="22"/>
        </w:rPr>
        <w:t>;</w:t>
      </w:r>
      <w:proofErr w:type="gramEnd"/>
    </w:p>
    <w:p w14:paraId="29E952F1" w14:textId="77777777" w:rsidR="000A6C29" w:rsidRDefault="00CF7BBD"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Includes all 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 Stock) where the holders of such securities are receiving Cash-Out Amounts or similar liquidation preference payments in lieu of Conversion Amounts or similar “as-converted” payments</w:t>
      </w:r>
      <w:r w:rsidR="00223D4D">
        <w:rPr>
          <w:sz w:val="22"/>
          <w:szCs w:val="22"/>
        </w:rPr>
        <w:t>; and</w:t>
      </w:r>
    </w:p>
    <w:p w14:paraId="771FA776" w14:textId="77777777" w:rsidR="000A6C29" w:rsidRPr="000A6C29" w:rsidRDefault="00825379" w:rsidP="000A6C29">
      <w:pPr>
        <w:pStyle w:val="ListParagraph"/>
        <w:numPr>
          <w:ilvl w:val="0"/>
          <w:numId w:val="24"/>
        </w:numPr>
        <w:ind w:left="720" w:right="-360"/>
        <w:contextualSpacing w:val="0"/>
        <w:jc w:val="both"/>
        <w:rPr>
          <w:rStyle w:val="DeltaViewDeletion"/>
          <w:strike w:val="0"/>
          <w:color w:val="000000"/>
          <w:sz w:val="22"/>
          <w:szCs w:val="22"/>
        </w:rPr>
      </w:pPr>
      <w:r w:rsidRPr="000A6C29">
        <w:rPr>
          <w:rStyle w:val="DeltaViewDeletion"/>
          <w:strike w:val="0"/>
          <w:color w:val="000000"/>
          <w:sz w:val="22"/>
          <w:szCs w:val="22"/>
        </w:rPr>
        <w:t xml:space="preserve">Excludes </w:t>
      </w:r>
      <w:r w:rsidR="00A92C56" w:rsidRPr="000A6C29">
        <w:rPr>
          <w:rStyle w:val="DeltaViewDeletion"/>
          <w:strike w:val="0"/>
          <w:color w:val="auto"/>
          <w:sz w:val="22"/>
          <w:szCs w:val="22"/>
        </w:rPr>
        <w:t>the Uniss</w:t>
      </w:r>
      <w:r w:rsidR="007E7F25" w:rsidRPr="000A6C29">
        <w:rPr>
          <w:rStyle w:val="DeltaViewDeletion"/>
          <w:strike w:val="0"/>
          <w:color w:val="auto"/>
          <w:sz w:val="22"/>
          <w:szCs w:val="22"/>
        </w:rPr>
        <w:t>u</w:t>
      </w:r>
      <w:r w:rsidR="00A92C56" w:rsidRPr="000A6C29">
        <w:rPr>
          <w:rStyle w:val="DeltaViewDeletion"/>
          <w:strike w:val="0"/>
          <w:color w:val="auto"/>
          <w:sz w:val="22"/>
          <w:szCs w:val="22"/>
        </w:rPr>
        <w:t>ed Option Pool</w:t>
      </w:r>
      <w:r w:rsidR="00CF7BBD" w:rsidRPr="000A6C29">
        <w:rPr>
          <w:rStyle w:val="DeltaViewDeletion"/>
          <w:strike w:val="0"/>
          <w:color w:val="auto"/>
          <w:sz w:val="22"/>
          <w:szCs w:val="22"/>
        </w:rPr>
        <w:t>.</w:t>
      </w:r>
    </w:p>
    <w:p w14:paraId="146857C0" w14:textId="77777777" w:rsidR="000A6C29" w:rsidRPr="000A6C29" w:rsidRDefault="000A6C29" w:rsidP="000A6C29">
      <w:pPr>
        <w:pStyle w:val="ListParagraph"/>
        <w:ind w:right="-360"/>
        <w:contextualSpacing w:val="0"/>
        <w:jc w:val="both"/>
        <w:rPr>
          <w:color w:val="000000"/>
          <w:sz w:val="22"/>
          <w:szCs w:val="22"/>
        </w:rPr>
      </w:pPr>
    </w:p>
    <w:p w14:paraId="01FB1A39" w14:textId="58E688F8" w:rsidR="00132B42" w:rsidRDefault="000A6C29" w:rsidP="00F65BDB">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12588">
        <w:rPr>
          <w:sz w:val="22"/>
          <w:szCs w:val="22"/>
        </w:rPr>
        <w:t xml:space="preserve">, a Direct </w:t>
      </w:r>
      <w:proofErr w:type="gramStart"/>
      <w:r w:rsidR="00712588">
        <w:rPr>
          <w:sz w:val="22"/>
          <w:szCs w:val="22"/>
        </w:rPr>
        <w:t>Listing</w:t>
      </w:r>
      <w:proofErr w:type="gramEnd"/>
      <w:r w:rsidR="00FC1E72">
        <w:rPr>
          <w:sz w:val="22"/>
          <w:szCs w:val="22"/>
        </w:rPr>
        <w:t xml:space="preserve"> or an Initial Public Offering.</w:t>
      </w:r>
    </w:p>
    <w:p w14:paraId="1929BC66" w14:textId="77777777" w:rsidR="002C3307" w:rsidRDefault="00B1343A" w:rsidP="002C3307">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CD2F46">
        <w:rPr>
          <w:sz w:val="22"/>
          <w:szCs w:val="22"/>
        </w:rPr>
        <w:t>Post</w:t>
      </w:r>
      <w:r w:rsidR="00654C4D">
        <w:rPr>
          <w:sz w:val="22"/>
          <w:szCs w:val="22"/>
        </w:rPr>
        <w:t>-</w:t>
      </w:r>
      <w:r w:rsidR="006A2768">
        <w:rPr>
          <w:sz w:val="22"/>
          <w:szCs w:val="22"/>
        </w:rPr>
        <w:t>M</w:t>
      </w:r>
      <w:r w:rsidR="00CD2F46">
        <w:rPr>
          <w:sz w:val="22"/>
          <w:szCs w:val="22"/>
        </w:rPr>
        <w:t xml:space="preserve">oney </w:t>
      </w:r>
      <w:r w:rsidRPr="00DA04FC">
        <w:rPr>
          <w:sz w:val="22"/>
          <w:szCs w:val="22"/>
        </w:rPr>
        <w:t>Valuation</w:t>
      </w:r>
      <w:r w:rsidR="00E025D4">
        <w:rPr>
          <w:sz w:val="22"/>
          <w:szCs w:val="22"/>
        </w:rPr>
        <w:t xml:space="preserve"> Cap</w:t>
      </w:r>
      <w:r w:rsidRPr="00DA04FC">
        <w:rPr>
          <w:sz w:val="22"/>
          <w:szCs w:val="22"/>
        </w:rPr>
        <w:t xml:space="preserve"> </w:t>
      </w:r>
      <w:r w:rsidR="00DD484E">
        <w:rPr>
          <w:sz w:val="22"/>
          <w:szCs w:val="22"/>
        </w:rPr>
        <w:t xml:space="preserve">divided by </w:t>
      </w:r>
      <w:r w:rsidRPr="00DA04FC">
        <w:rPr>
          <w:rStyle w:val="DeltaViewDeletion"/>
          <w:strike w:val="0"/>
          <w:color w:val="auto"/>
          <w:sz w:val="22"/>
          <w:szCs w:val="22"/>
        </w:rPr>
        <w:t xml:space="preserve">the </w:t>
      </w:r>
      <w:r w:rsidR="00801848" w:rsidRPr="002600BF">
        <w:rPr>
          <w:rStyle w:val="DeltaViewDeletion"/>
          <w:strike w:val="0"/>
          <w:color w:val="auto"/>
          <w:sz w:val="22"/>
          <w:szCs w:val="22"/>
        </w:rPr>
        <w:t>Liquidity</w:t>
      </w:r>
      <w:r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712D57AA" w14:textId="77777777" w:rsidR="00B80840" w:rsidRPr="00D85013" w:rsidRDefault="00D85013" w:rsidP="00B80840">
      <w:pPr>
        <w:tabs>
          <w:tab w:val="left" w:pos="360"/>
        </w:tabs>
        <w:autoSpaceDE w:val="0"/>
        <w:autoSpaceDN w:val="0"/>
        <w:adjustRightInd w:val="0"/>
        <w:spacing w:after="240"/>
        <w:ind w:left="-720" w:right="-360"/>
        <w:jc w:val="both"/>
        <w:rPr>
          <w:sz w:val="22"/>
          <w:szCs w:val="22"/>
        </w:rPr>
      </w:pPr>
      <w:r>
        <w:rPr>
          <w:sz w:val="22"/>
          <w:szCs w:val="22"/>
        </w:rPr>
        <w:tab/>
        <w:t>“</w:t>
      </w:r>
      <w:r>
        <w:rPr>
          <w:b/>
          <w:sz w:val="22"/>
          <w:szCs w:val="22"/>
        </w:rPr>
        <w:t>Options</w:t>
      </w:r>
      <w:r>
        <w:rPr>
          <w:sz w:val="22"/>
          <w:szCs w:val="22"/>
        </w:rPr>
        <w:t xml:space="preserve">” </w:t>
      </w:r>
      <w:r w:rsidR="00965DB6">
        <w:rPr>
          <w:sz w:val="22"/>
          <w:szCs w:val="22"/>
        </w:rPr>
        <w:t>includes</w:t>
      </w:r>
      <w:r>
        <w:rPr>
          <w:sz w:val="22"/>
          <w:szCs w:val="22"/>
        </w:rPr>
        <w:t xml:space="preserve"> options, </w:t>
      </w:r>
      <w:r w:rsidR="00D7523F">
        <w:rPr>
          <w:sz w:val="22"/>
          <w:szCs w:val="22"/>
        </w:rPr>
        <w:t>restricted stock awards</w:t>
      </w:r>
      <w:r w:rsidR="0042232C">
        <w:rPr>
          <w:sz w:val="22"/>
          <w:szCs w:val="22"/>
        </w:rPr>
        <w:t xml:space="preserve"> or purchases,</w:t>
      </w:r>
      <w:r w:rsidR="00D7523F">
        <w:rPr>
          <w:sz w:val="22"/>
          <w:szCs w:val="22"/>
        </w:rPr>
        <w:t xml:space="preserve"> </w:t>
      </w:r>
      <w:r>
        <w:rPr>
          <w:sz w:val="22"/>
          <w:szCs w:val="22"/>
        </w:rPr>
        <w:t>RSUs, SARs, warrants or similar securities</w:t>
      </w:r>
      <w:r w:rsidR="00C74252">
        <w:rPr>
          <w:sz w:val="22"/>
          <w:szCs w:val="22"/>
        </w:rPr>
        <w:t>, vested or unvested</w:t>
      </w:r>
      <w:r>
        <w:rPr>
          <w:sz w:val="22"/>
          <w:szCs w:val="22"/>
        </w:rPr>
        <w:t>.</w:t>
      </w:r>
    </w:p>
    <w:p w14:paraId="738917F4" w14:textId="77777777" w:rsidR="00451998" w:rsidRDefault="00451998" w:rsidP="00451998">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6D68EDF0" w14:textId="52CDE860" w:rsidR="00667425" w:rsidRPr="003E57AF" w:rsidRDefault="00667425" w:rsidP="00451998">
      <w:pPr>
        <w:tabs>
          <w:tab w:val="left" w:pos="360"/>
        </w:tabs>
        <w:autoSpaceDE w:val="0"/>
        <w:autoSpaceDN w:val="0"/>
        <w:adjustRightInd w:val="0"/>
        <w:spacing w:after="240"/>
        <w:ind w:left="-720" w:right="-360" w:firstLine="1080"/>
        <w:jc w:val="both"/>
        <w:rPr>
          <w:rStyle w:val="DeltaViewDeletion"/>
          <w:strike w:val="0"/>
          <w:color w:val="000000"/>
        </w:rPr>
      </w:pPr>
      <w:r>
        <w:rPr>
          <w:sz w:val="22"/>
          <w:szCs w:val="22"/>
        </w:rPr>
        <w:t>“</w:t>
      </w:r>
      <w:r>
        <w:rPr>
          <w:b/>
          <w:sz w:val="22"/>
          <w:szCs w:val="22"/>
        </w:rPr>
        <w:t>Promised Options</w:t>
      </w:r>
      <w:r>
        <w:rPr>
          <w:sz w:val="22"/>
          <w:szCs w:val="22"/>
        </w:rPr>
        <w:t>” means</w:t>
      </w:r>
      <w:r w:rsidR="00A56513">
        <w:rPr>
          <w:sz w:val="22"/>
          <w:szCs w:val="22"/>
        </w:rPr>
        <w:t xml:space="preserve"> promised but</w:t>
      </w:r>
      <w:r>
        <w:rPr>
          <w:sz w:val="22"/>
          <w:szCs w:val="22"/>
        </w:rPr>
        <w:t xml:space="preserve"> </w:t>
      </w:r>
      <w:r w:rsidR="00C74FA2">
        <w:rPr>
          <w:sz w:val="22"/>
          <w:szCs w:val="22"/>
        </w:rPr>
        <w:t xml:space="preserve">ungranted </w:t>
      </w:r>
      <w:r w:rsidR="00C74FA2">
        <w:rPr>
          <w:rStyle w:val="DeltaViewDeletion"/>
          <w:strike w:val="0"/>
          <w:color w:val="000000"/>
          <w:sz w:val="22"/>
          <w:szCs w:val="22"/>
        </w:rPr>
        <w:t>Options</w:t>
      </w:r>
      <w:r w:rsidR="0058148D">
        <w:rPr>
          <w:rStyle w:val="DeltaViewDeletion"/>
          <w:strike w:val="0"/>
          <w:color w:val="000000"/>
          <w:sz w:val="22"/>
          <w:szCs w:val="22"/>
        </w:rPr>
        <w:t xml:space="preserve"> </w:t>
      </w:r>
      <w:r w:rsidR="00A56513">
        <w:rPr>
          <w:rStyle w:val="DeltaViewDeletion"/>
          <w:strike w:val="0"/>
          <w:color w:val="000000"/>
          <w:sz w:val="22"/>
          <w:szCs w:val="22"/>
        </w:rPr>
        <w:t xml:space="preserve">that are the greater of </w:t>
      </w:r>
      <w:r w:rsidR="00BF5253">
        <w:rPr>
          <w:rStyle w:val="DeltaViewDeletion"/>
          <w:strike w:val="0"/>
          <w:color w:val="000000"/>
          <w:sz w:val="22"/>
          <w:szCs w:val="22"/>
        </w:rPr>
        <w:t xml:space="preserve">those </w:t>
      </w:r>
      <w:r w:rsidR="00A56513">
        <w:rPr>
          <w:rStyle w:val="DeltaViewDeletion"/>
          <w:strike w:val="0"/>
          <w:color w:val="000000"/>
          <w:sz w:val="22"/>
          <w:szCs w:val="22"/>
        </w:rPr>
        <w:t>(</w:t>
      </w:r>
      <w:proofErr w:type="spellStart"/>
      <w:r w:rsidR="00A56513">
        <w:rPr>
          <w:rStyle w:val="DeltaViewDeletion"/>
          <w:strike w:val="0"/>
          <w:color w:val="000000"/>
          <w:sz w:val="22"/>
          <w:szCs w:val="22"/>
        </w:rPr>
        <w:t>i</w:t>
      </w:r>
      <w:proofErr w:type="spellEnd"/>
      <w:r w:rsidR="00A56513">
        <w:rPr>
          <w:rStyle w:val="DeltaViewDeletion"/>
          <w:strike w:val="0"/>
          <w:color w:val="000000"/>
          <w:sz w:val="22"/>
          <w:szCs w:val="22"/>
        </w:rPr>
        <w:t>)</w:t>
      </w:r>
      <w:r w:rsidR="00C9480A">
        <w:rPr>
          <w:rStyle w:val="DeltaViewDeletion"/>
          <w:strike w:val="0"/>
          <w:color w:val="000000"/>
          <w:sz w:val="22"/>
          <w:szCs w:val="22"/>
        </w:rPr>
        <w:t xml:space="preserve"> </w:t>
      </w:r>
      <w:r w:rsidR="00A56513">
        <w:rPr>
          <w:rStyle w:val="DeltaViewDeletion"/>
          <w:strike w:val="0"/>
          <w:color w:val="000000"/>
          <w:sz w:val="22"/>
          <w:szCs w:val="22"/>
        </w:rPr>
        <w:t xml:space="preserve">promised </w:t>
      </w:r>
      <w:r w:rsidR="00C74FA2">
        <w:rPr>
          <w:rStyle w:val="DeltaViewDeletion"/>
          <w:strike w:val="0"/>
          <w:color w:val="000000"/>
          <w:sz w:val="22"/>
          <w:szCs w:val="22"/>
        </w:rPr>
        <w:t>pursuant to agreements</w:t>
      </w:r>
      <w:r w:rsidR="00834475">
        <w:rPr>
          <w:rStyle w:val="DeltaViewDeletion"/>
          <w:strike w:val="0"/>
          <w:color w:val="000000"/>
          <w:sz w:val="22"/>
          <w:szCs w:val="22"/>
        </w:rPr>
        <w:t xml:space="preserve"> or understandings </w:t>
      </w:r>
      <w:r w:rsidR="002450EE">
        <w:rPr>
          <w:rStyle w:val="DeltaViewDeletion"/>
          <w:strike w:val="0"/>
          <w:color w:val="000000"/>
          <w:sz w:val="22"/>
          <w:szCs w:val="22"/>
        </w:rPr>
        <w:t xml:space="preserve">made prior </w:t>
      </w:r>
      <w:r w:rsidR="00FB6A30">
        <w:rPr>
          <w:rStyle w:val="DeltaViewDeletion"/>
          <w:strike w:val="0"/>
          <w:color w:val="000000"/>
          <w:sz w:val="22"/>
          <w:szCs w:val="22"/>
        </w:rPr>
        <w:t xml:space="preserve">to the execution of, </w:t>
      </w:r>
      <w:r w:rsidR="002450EE">
        <w:rPr>
          <w:rStyle w:val="DeltaViewDeletion"/>
          <w:strike w:val="0"/>
          <w:color w:val="000000"/>
          <w:sz w:val="22"/>
          <w:szCs w:val="22"/>
        </w:rPr>
        <w:t xml:space="preserve">or </w:t>
      </w:r>
      <w:r w:rsidR="007C01D8">
        <w:rPr>
          <w:rStyle w:val="DeltaViewDeletion"/>
          <w:strike w:val="0"/>
          <w:color w:val="000000"/>
          <w:sz w:val="22"/>
          <w:szCs w:val="22"/>
        </w:rPr>
        <w:t>in connection with</w:t>
      </w:r>
      <w:r w:rsidR="00FB6A30">
        <w:rPr>
          <w:rStyle w:val="DeltaViewDeletion"/>
          <w:strike w:val="0"/>
          <w:color w:val="000000"/>
          <w:sz w:val="22"/>
          <w:szCs w:val="22"/>
        </w:rPr>
        <w:t>,</w:t>
      </w:r>
      <w:r w:rsidR="00C74FA2">
        <w:rPr>
          <w:rStyle w:val="DeltaViewDeletion"/>
          <w:strike w:val="0"/>
          <w:color w:val="000000"/>
          <w:sz w:val="22"/>
          <w:szCs w:val="22"/>
        </w:rPr>
        <w:t xml:space="preserve"> the </w:t>
      </w:r>
      <w:r w:rsidR="00A56513">
        <w:rPr>
          <w:rStyle w:val="DeltaViewDeletion"/>
          <w:strike w:val="0"/>
          <w:color w:val="000000"/>
          <w:sz w:val="22"/>
          <w:szCs w:val="22"/>
        </w:rPr>
        <w:t xml:space="preserve">term sheet </w:t>
      </w:r>
      <w:r w:rsidR="006104D3" w:rsidRPr="006104D3">
        <w:rPr>
          <w:rStyle w:val="DeltaViewDeletion"/>
          <w:strike w:val="0"/>
          <w:color w:val="000000"/>
          <w:sz w:val="22"/>
          <w:szCs w:val="22"/>
        </w:rPr>
        <w:t xml:space="preserve">or letter of intent </w:t>
      </w:r>
      <w:r w:rsidR="00A56513">
        <w:rPr>
          <w:rStyle w:val="DeltaViewDeletion"/>
          <w:strike w:val="0"/>
          <w:color w:val="000000"/>
          <w:sz w:val="22"/>
          <w:szCs w:val="22"/>
        </w:rPr>
        <w:t xml:space="preserve">for </w:t>
      </w:r>
      <w:r w:rsidR="00C74FA2">
        <w:rPr>
          <w:rStyle w:val="DeltaViewDeletion"/>
          <w:strike w:val="0"/>
          <w:color w:val="000000"/>
          <w:sz w:val="22"/>
          <w:szCs w:val="22"/>
        </w:rPr>
        <w:t>the Equity Financing</w:t>
      </w:r>
      <w:r w:rsidR="00AB7290">
        <w:rPr>
          <w:rStyle w:val="DeltaViewDeletion"/>
          <w:strike w:val="0"/>
          <w:color w:val="000000"/>
          <w:sz w:val="22"/>
          <w:szCs w:val="22"/>
        </w:rPr>
        <w:t xml:space="preserve"> </w:t>
      </w:r>
      <w:r w:rsidR="006104D3" w:rsidRPr="006104D3">
        <w:rPr>
          <w:rStyle w:val="DeltaViewDeletion"/>
          <w:strike w:val="0"/>
          <w:color w:val="000000"/>
          <w:sz w:val="22"/>
          <w:szCs w:val="22"/>
        </w:rPr>
        <w:t xml:space="preserve">or Liquidity Event, as applicable </w:t>
      </w:r>
      <w:r w:rsidR="00AB7290">
        <w:rPr>
          <w:rStyle w:val="DeltaViewDeletion"/>
          <w:strike w:val="0"/>
          <w:color w:val="000000"/>
          <w:sz w:val="22"/>
          <w:szCs w:val="22"/>
        </w:rPr>
        <w:t>(or the initial closing of the Equity Financing</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consummation of the Liquidity Event</w:t>
      </w:r>
      <w:r w:rsidR="00AB7290">
        <w:rPr>
          <w:rStyle w:val="DeltaViewDeletion"/>
          <w:strike w:val="0"/>
          <w:color w:val="000000"/>
          <w:sz w:val="22"/>
          <w:szCs w:val="22"/>
        </w:rPr>
        <w:t>, if there is no term sheet</w:t>
      </w:r>
      <w:r w:rsidR="006104D3">
        <w:rPr>
          <w:rStyle w:val="DeltaViewDeletion"/>
          <w:strike w:val="0"/>
          <w:color w:val="000000"/>
          <w:sz w:val="22"/>
          <w:szCs w:val="22"/>
        </w:rPr>
        <w:t xml:space="preserve"> or letter of intent</w:t>
      </w:r>
      <w:r w:rsidR="00AB7290">
        <w:rPr>
          <w:rStyle w:val="DeltaViewDeletion"/>
          <w:strike w:val="0"/>
          <w:color w:val="000000"/>
          <w:sz w:val="22"/>
          <w:szCs w:val="22"/>
        </w:rPr>
        <w:t>)</w:t>
      </w:r>
      <w:r w:rsidR="00A56513">
        <w:rPr>
          <w:rStyle w:val="DeltaViewDeletion"/>
          <w:strike w:val="0"/>
          <w:color w:val="000000"/>
          <w:sz w:val="22"/>
          <w:szCs w:val="22"/>
        </w:rPr>
        <w:t xml:space="preserve">, (ii) </w:t>
      </w:r>
      <w:r w:rsidR="006104D3">
        <w:rPr>
          <w:rStyle w:val="DeltaViewDeletion"/>
          <w:strike w:val="0"/>
          <w:color w:val="000000"/>
          <w:sz w:val="22"/>
          <w:szCs w:val="22"/>
        </w:rPr>
        <w:t xml:space="preserve">in the case of an Equity Financing, </w:t>
      </w:r>
      <w:r w:rsidR="00321A34">
        <w:rPr>
          <w:rStyle w:val="DeltaViewDeletion"/>
          <w:strike w:val="0"/>
          <w:color w:val="000000"/>
          <w:sz w:val="22"/>
          <w:szCs w:val="22"/>
        </w:rPr>
        <w:t>treated as outstanding</w:t>
      </w:r>
      <w:r w:rsidR="00B72939">
        <w:rPr>
          <w:rStyle w:val="DeltaViewDeletion"/>
          <w:strike w:val="0"/>
          <w:color w:val="000000"/>
          <w:sz w:val="22"/>
          <w:szCs w:val="22"/>
        </w:rPr>
        <w:t xml:space="preserve"> Option</w:t>
      </w:r>
      <w:r w:rsidR="0047068F">
        <w:rPr>
          <w:rStyle w:val="DeltaViewDeletion"/>
          <w:strike w:val="0"/>
          <w:color w:val="000000"/>
          <w:sz w:val="22"/>
          <w:szCs w:val="22"/>
        </w:rPr>
        <w:t>s</w:t>
      </w:r>
      <w:r w:rsidR="00A56513">
        <w:rPr>
          <w:rStyle w:val="DeltaViewDeletion"/>
          <w:strike w:val="0"/>
          <w:color w:val="000000"/>
          <w:sz w:val="22"/>
          <w:szCs w:val="22"/>
        </w:rPr>
        <w:t xml:space="preserve"> </w:t>
      </w:r>
      <w:r w:rsidR="00334F7B">
        <w:rPr>
          <w:rStyle w:val="DeltaViewDeletion"/>
          <w:strike w:val="0"/>
          <w:color w:val="000000"/>
          <w:sz w:val="22"/>
          <w:szCs w:val="22"/>
        </w:rPr>
        <w:t xml:space="preserve">in the calculation of </w:t>
      </w:r>
      <w:r w:rsidR="00A56513">
        <w:rPr>
          <w:rStyle w:val="DeltaViewDeletion"/>
          <w:strike w:val="0"/>
          <w:color w:val="000000"/>
          <w:sz w:val="22"/>
          <w:szCs w:val="22"/>
        </w:rPr>
        <w:t>the Standard Preferred Stock</w:t>
      </w:r>
      <w:r w:rsidR="00334F7B">
        <w:rPr>
          <w:rStyle w:val="DeltaViewDeletion"/>
          <w:strike w:val="0"/>
          <w:color w:val="000000"/>
          <w:sz w:val="22"/>
          <w:szCs w:val="22"/>
        </w:rPr>
        <w:t>’s price per share</w:t>
      </w:r>
      <w:r w:rsidR="006104D3">
        <w:rPr>
          <w:rStyle w:val="DeltaViewDeletion"/>
          <w:strike w:val="0"/>
          <w:color w:val="000000"/>
          <w:sz w:val="22"/>
          <w:szCs w:val="22"/>
        </w:rPr>
        <w:t xml:space="preserve">, </w:t>
      </w:r>
      <w:r w:rsidR="006104D3" w:rsidRPr="006104D3">
        <w:rPr>
          <w:rStyle w:val="DeltaViewDeletion"/>
          <w:strike w:val="0"/>
          <w:color w:val="000000"/>
          <w:sz w:val="22"/>
          <w:szCs w:val="22"/>
        </w:rPr>
        <w:t>or (iii) in the case of a Liquidity Event, treated as outstanding Options in the calculation of the distribution of the Proceeds</w:t>
      </w:r>
      <w:r w:rsidR="00A56513">
        <w:rPr>
          <w:rStyle w:val="DeltaViewDeletion"/>
          <w:strike w:val="0"/>
          <w:color w:val="000000"/>
          <w:sz w:val="22"/>
          <w:szCs w:val="22"/>
        </w:rPr>
        <w:t>.</w:t>
      </w:r>
    </w:p>
    <w:p w14:paraId="40589965" w14:textId="58942BFA" w:rsidR="00896DDC" w:rsidRPr="00667425" w:rsidRDefault="00896DDC" w:rsidP="00A04F1C">
      <w:pPr>
        <w:tabs>
          <w:tab w:val="left" w:pos="360"/>
        </w:tabs>
        <w:autoSpaceDE w:val="0"/>
        <w:autoSpaceDN w:val="0"/>
        <w:adjustRightInd w:val="0"/>
        <w:spacing w:after="240"/>
        <w:ind w:left="-720" w:right="-360" w:firstLine="1080"/>
        <w:jc w:val="both"/>
        <w:rPr>
          <w:sz w:val="22"/>
          <w:szCs w:val="22"/>
        </w:rPr>
      </w:pPr>
      <w:bookmarkStart w:id="2" w:name="_Hlk54018656"/>
      <w:r w:rsidRPr="00556E8D">
        <w:rPr>
          <w:rStyle w:val="DeltaViewDeletion"/>
          <w:b/>
          <w:bCs/>
          <w:strike w:val="0"/>
          <w:color w:val="000000"/>
          <w:sz w:val="22"/>
          <w:szCs w:val="22"/>
        </w:rPr>
        <w:t>“Regulatory Approval”</w:t>
      </w:r>
      <w:r>
        <w:rPr>
          <w:rStyle w:val="DeltaViewDeletion"/>
          <w:strike w:val="0"/>
          <w:color w:val="000000"/>
          <w:sz w:val="22"/>
          <w:szCs w:val="22"/>
        </w:rPr>
        <w:t xml:space="preserve"> means any disclosure </w:t>
      </w:r>
      <w:r w:rsidR="002758D1">
        <w:rPr>
          <w:rStyle w:val="DeltaViewDeletion"/>
          <w:strike w:val="0"/>
          <w:color w:val="000000"/>
          <w:sz w:val="22"/>
          <w:szCs w:val="22"/>
        </w:rPr>
        <w:t xml:space="preserve">to </w:t>
      </w:r>
      <w:r w:rsidR="00091860">
        <w:rPr>
          <w:rStyle w:val="DeltaViewDeletion"/>
          <w:strike w:val="0"/>
          <w:color w:val="000000"/>
          <w:sz w:val="22"/>
          <w:szCs w:val="22"/>
        </w:rPr>
        <w:t>and</w:t>
      </w:r>
      <w:r>
        <w:rPr>
          <w:rStyle w:val="DeltaViewDeletion"/>
          <w:strike w:val="0"/>
          <w:color w:val="000000"/>
          <w:sz w:val="22"/>
          <w:szCs w:val="22"/>
        </w:rPr>
        <w:t xml:space="preserve"> consent </w:t>
      </w:r>
      <w:r w:rsidR="002758D1">
        <w:rPr>
          <w:rStyle w:val="DeltaViewDeletion"/>
          <w:strike w:val="0"/>
          <w:color w:val="000000"/>
          <w:sz w:val="22"/>
          <w:szCs w:val="22"/>
        </w:rPr>
        <w:t>of</w:t>
      </w:r>
      <w:r w:rsidR="008B6224">
        <w:rPr>
          <w:rStyle w:val="DeltaViewDeletion"/>
          <w:strike w:val="0"/>
          <w:color w:val="000000"/>
          <w:sz w:val="22"/>
          <w:szCs w:val="22"/>
        </w:rPr>
        <w:t xml:space="preserve"> any </w:t>
      </w:r>
      <w:r w:rsidR="006E1E40">
        <w:rPr>
          <w:rStyle w:val="DeltaViewDeletion"/>
          <w:strike w:val="0"/>
          <w:color w:val="000000"/>
          <w:sz w:val="22"/>
          <w:szCs w:val="22"/>
        </w:rPr>
        <w:t xml:space="preserve">applicable </w:t>
      </w:r>
      <w:r w:rsidR="00A04F1C">
        <w:rPr>
          <w:rStyle w:val="DeltaViewDeletion"/>
          <w:strike w:val="0"/>
          <w:color w:val="000000"/>
          <w:sz w:val="22"/>
          <w:szCs w:val="22"/>
        </w:rPr>
        <w:t>s</w:t>
      </w:r>
      <w:r w:rsidR="008D5D87">
        <w:rPr>
          <w:rStyle w:val="DeltaViewDeletion"/>
          <w:strike w:val="0"/>
          <w:color w:val="000000"/>
          <w:sz w:val="22"/>
          <w:szCs w:val="22"/>
        </w:rPr>
        <w:t xml:space="preserve">tate </w:t>
      </w:r>
      <w:r w:rsidR="000E5135">
        <w:rPr>
          <w:rStyle w:val="DeltaViewDeletion"/>
          <w:strike w:val="0"/>
          <w:color w:val="000000"/>
          <w:sz w:val="22"/>
          <w:szCs w:val="22"/>
        </w:rPr>
        <w:t>or</w:t>
      </w:r>
      <w:r w:rsidR="006E1E40">
        <w:rPr>
          <w:rStyle w:val="DeltaViewDeletion"/>
          <w:strike w:val="0"/>
          <w:color w:val="000000"/>
          <w:sz w:val="22"/>
          <w:szCs w:val="22"/>
        </w:rPr>
        <w:t xml:space="preserve"> local </w:t>
      </w:r>
      <w:r w:rsidR="008B6224">
        <w:rPr>
          <w:rStyle w:val="DeltaViewDeletion"/>
          <w:strike w:val="0"/>
          <w:color w:val="000000"/>
          <w:sz w:val="22"/>
          <w:szCs w:val="22"/>
        </w:rPr>
        <w:t xml:space="preserve">regulator, governmental body, or quasi-governmental body </w:t>
      </w:r>
      <w:r w:rsidR="001634B5">
        <w:rPr>
          <w:rStyle w:val="DeltaViewDeletion"/>
          <w:strike w:val="0"/>
          <w:color w:val="000000"/>
          <w:sz w:val="22"/>
          <w:szCs w:val="22"/>
        </w:rPr>
        <w:t xml:space="preserve">in a Licensing Jurisdiction </w:t>
      </w:r>
      <w:r w:rsidR="002758D1">
        <w:rPr>
          <w:rStyle w:val="DeltaViewDeletion"/>
          <w:strike w:val="0"/>
          <w:color w:val="000000"/>
          <w:sz w:val="22"/>
          <w:szCs w:val="22"/>
        </w:rPr>
        <w:t xml:space="preserve">as may be required </w:t>
      </w:r>
      <w:r>
        <w:rPr>
          <w:rStyle w:val="DeltaViewDeletion"/>
          <w:strike w:val="0"/>
          <w:color w:val="000000"/>
          <w:sz w:val="22"/>
          <w:szCs w:val="22"/>
        </w:rPr>
        <w:t xml:space="preserve">to </w:t>
      </w:r>
      <w:r w:rsidR="001634B5">
        <w:rPr>
          <w:rStyle w:val="DeltaViewDeletion"/>
          <w:strike w:val="0"/>
          <w:color w:val="000000"/>
          <w:sz w:val="22"/>
          <w:szCs w:val="22"/>
        </w:rPr>
        <w:t xml:space="preserve">effect </w:t>
      </w:r>
      <w:r>
        <w:rPr>
          <w:rStyle w:val="DeltaViewDeletion"/>
          <w:strike w:val="0"/>
          <w:color w:val="000000"/>
          <w:sz w:val="22"/>
          <w:szCs w:val="22"/>
        </w:rPr>
        <w:t xml:space="preserve">any transfer in ownership or </w:t>
      </w:r>
      <w:r w:rsidR="006241EF">
        <w:rPr>
          <w:rStyle w:val="DeltaViewDeletion"/>
          <w:strike w:val="0"/>
          <w:color w:val="000000"/>
          <w:sz w:val="22"/>
          <w:szCs w:val="22"/>
        </w:rPr>
        <w:t>distribution of any profit or</w:t>
      </w:r>
      <w:r w:rsidR="008B6224">
        <w:rPr>
          <w:rStyle w:val="DeltaViewDeletion"/>
          <w:strike w:val="0"/>
          <w:color w:val="000000"/>
          <w:sz w:val="22"/>
          <w:szCs w:val="22"/>
        </w:rPr>
        <w:t xml:space="preserve"> interest as contemplated by this Safe, including but not limited to an Equity Financing, Liquidity Event, or Dissolution Event.</w:t>
      </w:r>
    </w:p>
    <w:bookmarkEnd w:id="2"/>
    <w:p w14:paraId="6D7D0B98" w14:textId="77777777" w:rsidR="00451998" w:rsidRDefault="00465FB5" w:rsidP="008F4ABB">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 xml:space="preserve">instrument. </w:t>
      </w:r>
    </w:p>
    <w:p w14:paraId="7132A659" w14:textId="77777777" w:rsidR="006C2112" w:rsidRDefault="00496041" w:rsidP="006C2112">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3E76ED">
        <w:rPr>
          <w:sz w:val="22"/>
          <w:szCs w:val="22"/>
        </w:rPr>
        <w:t xml:space="preserve">initial </w:t>
      </w:r>
      <w:r w:rsidR="00167E28" w:rsidRPr="00167E28">
        <w:rPr>
          <w:sz w:val="22"/>
          <w:szCs w:val="22"/>
        </w:rPr>
        <w:t>conversion price for purposes of price-based anti-dilution protection</w:t>
      </w:r>
      <w:r w:rsidRPr="00167E28">
        <w:rPr>
          <w:sz w:val="22"/>
          <w:szCs w:val="22"/>
        </w:rPr>
        <w:t xml:space="preserve">, which will equal the </w:t>
      </w:r>
      <w:r w:rsidR="005E1EC5" w:rsidRPr="00167E28">
        <w:rPr>
          <w:sz w:val="22"/>
          <w:szCs w:val="22"/>
        </w:rPr>
        <w:t>Safe</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Safe Price. </w:t>
      </w:r>
      <w:r w:rsidR="00C664ED">
        <w:rPr>
          <w:sz w:val="22"/>
          <w:szCs w:val="22"/>
        </w:rPr>
        <w:t xml:space="preserve"> </w:t>
      </w:r>
    </w:p>
    <w:p w14:paraId="3F24A655" w14:textId="77777777" w:rsidR="00496041" w:rsidRDefault="00496041" w:rsidP="00F65BDB">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sidRPr="00996726">
        <w:rPr>
          <w:b/>
          <w:sz w:val="22"/>
          <w:szCs w:val="22"/>
        </w:rPr>
        <w:t xml:space="preserve"> Price</w:t>
      </w:r>
      <w:r>
        <w:rPr>
          <w:sz w:val="22"/>
          <w:szCs w:val="22"/>
        </w:rPr>
        <w:t xml:space="preserve">” </w:t>
      </w:r>
      <w:r w:rsidR="006E13C9">
        <w:rPr>
          <w:sz w:val="22"/>
          <w:szCs w:val="22"/>
        </w:rPr>
        <w:t xml:space="preserve">means the price per share equal to </w:t>
      </w:r>
      <w:bookmarkStart w:id="3" w:name="_DV_C50"/>
      <w:r w:rsidR="006E13C9">
        <w:rPr>
          <w:rStyle w:val="DeltaViewDeletion"/>
          <w:strike w:val="0"/>
          <w:color w:val="auto"/>
          <w:sz w:val="22"/>
          <w:szCs w:val="22"/>
        </w:rPr>
        <w:t xml:space="preserve">the </w:t>
      </w:r>
      <w:r w:rsidR="00CD2F46">
        <w:rPr>
          <w:rStyle w:val="DeltaViewDeletion"/>
          <w:strike w:val="0"/>
          <w:color w:val="auto"/>
          <w:sz w:val="22"/>
          <w:szCs w:val="22"/>
        </w:rPr>
        <w:t>Post</w:t>
      </w:r>
      <w:r w:rsidR="00654C4D">
        <w:rPr>
          <w:rStyle w:val="DeltaViewDeletion"/>
          <w:strike w:val="0"/>
          <w:color w:val="auto"/>
          <w:sz w:val="22"/>
          <w:szCs w:val="22"/>
        </w:rPr>
        <w:t>-</w:t>
      </w:r>
      <w:r w:rsidR="006A2768">
        <w:rPr>
          <w:rStyle w:val="DeltaViewDeletion"/>
          <w:strike w:val="0"/>
          <w:color w:val="auto"/>
          <w:sz w:val="22"/>
          <w:szCs w:val="22"/>
        </w:rPr>
        <w:t>M</w:t>
      </w:r>
      <w:r w:rsidR="00CD2F46">
        <w:rPr>
          <w:rStyle w:val="DeltaViewDeletion"/>
          <w:strike w:val="0"/>
          <w:color w:val="auto"/>
          <w:sz w:val="22"/>
          <w:szCs w:val="22"/>
        </w:rPr>
        <w:t xml:space="preserve">oney </w:t>
      </w:r>
      <w:r w:rsidR="006E13C9">
        <w:rPr>
          <w:rStyle w:val="DeltaViewDeletion"/>
          <w:strike w:val="0"/>
          <w:color w:val="auto"/>
          <w:sz w:val="22"/>
          <w:szCs w:val="22"/>
        </w:rPr>
        <w:t>Valuation Cap</w:t>
      </w:r>
      <w:r w:rsidR="006E13C9">
        <w:rPr>
          <w:sz w:val="22"/>
          <w:szCs w:val="22"/>
        </w:rPr>
        <w:t xml:space="preserve"> </w:t>
      </w:r>
      <w:r w:rsidR="00F17D3C">
        <w:rPr>
          <w:sz w:val="22"/>
          <w:szCs w:val="22"/>
        </w:rPr>
        <w:t xml:space="preserve">divided </w:t>
      </w:r>
      <w:r w:rsidR="006E13C9">
        <w:rPr>
          <w:rStyle w:val="DeltaViewDeletion"/>
          <w:strike w:val="0"/>
          <w:color w:val="auto"/>
          <w:sz w:val="22"/>
          <w:szCs w:val="22"/>
        </w:rPr>
        <w:t>by</w:t>
      </w:r>
      <w:r w:rsidR="00DA3F55">
        <w:rPr>
          <w:rStyle w:val="DeltaViewDeletion"/>
          <w:strike w:val="0"/>
          <w:color w:val="auto"/>
          <w:sz w:val="22"/>
          <w:szCs w:val="22"/>
        </w:rPr>
        <w:t xml:space="preserve"> </w:t>
      </w:r>
      <w:r w:rsidR="006E13C9">
        <w:rPr>
          <w:rStyle w:val="DeltaViewDeletion"/>
          <w:strike w:val="0"/>
          <w:color w:val="auto"/>
          <w:sz w:val="22"/>
          <w:szCs w:val="22"/>
        </w:rPr>
        <w:t>the</w:t>
      </w:r>
      <w:r w:rsidR="006E13C9" w:rsidRPr="00A46199">
        <w:rPr>
          <w:rStyle w:val="DeltaViewDeletion"/>
          <w:strike w:val="0"/>
          <w:color w:val="auto"/>
          <w:sz w:val="22"/>
          <w:szCs w:val="22"/>
        </w:rPr>
        <w:t xml:space="preserve"> Company Capitalization</w:t>
      </w:r>
      <w:bookmarkEnd w:id="3"/>
      <w:r w:rsidRPr="00A46199">
        <w:rPr>
          <w:sz w:val="22"/>
          <w:szCs w:val="22"/>
        </w:rPr>
        <w:t>.</w:t>
      </w:r>
    </w:p>
    <w:p w14:paraId="7C0DEA69" w14:textId="77777777" w:rsidR="0079399C" w:rsidRDefault="000832E9" w:rsidP="00F65BDB">
      <w:pPr>
        <w:tabs>
          <w:tab w:val="left" w:pos="360"/>
        </w:tabs>
        <w:autoSpaceDE w:val="0"/>
        <w:autoSpaceDN w:val="0"/>
        <w:adjustRightInd w:val="0"/>
        <w:spacing w:after="240"/>
        <w:ind w:left="-720" w:right="-36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means the shares of 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3CE6AEB0" w14:textId="77777777" w:rsidR="00B80840" w:rsidRPr="00B80840" w:rsidRDefault="00B80840" w:rsidP="00F65BDB">
      <w:pPr>
        <w:tabs>
          <w:tab w:val="left" w:pos="360"/>
        </w:tabs>
        <w:autoSpaceDE w:val="0"/>
        <w:autoSpaceDN w:val="0"/>
        <w:adjustRightInd w:val="0"/>
        <w:spacing w:after="240"/>
        <w:ind w:left="-720" w:right="-36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sidR="006812D6">
        <w:rPr>
          <w:rStyle w:val="DeltaViewDeletion"/>
          <w:strike w:val="0"/>
          <w:color w:val="000000"/>
          <w:sz w:val="22"/>
          <w:szCs w:val="22"/>
        </w:rPr>
        <w:t xml:space="preserve"> (</w:t>
      </w:r>
      <w:r w:rsidR="005046A1">
        <w:rPr>
          <w:rStyle w:val="DeltaViewDeletion"/>
          <w:strike w:val="0"/>
          <w:color w:val="000000"/>
          <w:sz w:val="22"/>
          <w:szCs w:val="22"/>
        </w:rPr>
        <w:t>but in the case of a Liquidity Event, only to</w:t>
      </w:r>
      <w:r w:rsidR="006812D6">
        <w:rPr>
          <w:rStyle w:val="DeltaViewDeletion"/>
          <w:strike w:val="0"/>
          <w:color w:val="000000"/>
          <w:sz w:val="22"/>
          <w:szCs w:val="22"/>
        </w:rPr>
        <w:t xml:space="preserve"> the extent Proceeds</w:t>
      </w:r>
      <w:r w:rsidR="005046A1">
        <w:rPr>
          <w:rStyle w:val="DeltaViewDeletion"/>
          <w:strike w:val="0"/>
          <w:color w:val="000000"/>
          <w:sz w:val="22"/>
          <w:szCs w:val="22"/>
        </w:rPr>
        <w:t xml:space="preserve"> are payable on such Promised Options</w:t>
      </w:r>
      <w:r w:rsidR="006812D6">
        <w:rPr>
          <w:rStyle w:val="DeltaViewDeletion"/>
          <w:strike w:val="0"/>
          <w:color w:val="000000"/>
          <w:sz w:val="22"/>
          <w:szCs w:val="22"/>
        </w:rPr>
        <w:t>)</w:t>
      </w:r>
      <w:r w:rsidRPr="00B80840">
        <w:rPr>
          <w:rStyle w:val="DeltaViewDeletion"/>
          <w:strike w:val="0"/>
          <w:color w:val="000000"/>
          <w:sz w:val="22"/>
          <w:szCs w:val="22"/>
        </w:rPr>
        <w:t xml:space="preserve"> under any equity incentive or similar Company plan.</w:t>
      </w:r>
    </w:p>
    <w:p w14:paraId="78C8692E" w14:textId="77777777" w:rsidR="00E23215" w:rsidRDefault="00D00425"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3.</w:t>
      </w:r>
      <w:r w:rsidR="00412847" w:rsidRPr="009A27B9">
        <w:rPr>
          <w:b/>
          <w:sz w:val="22"/>
          <w:szCs w:val="22"/>
        </w:rPr>
        <w:tab/>
      </w:r>
      <w:r>
        <w:rPr>
          <w:b/>
          <w:i/>
          <w:sz w:val="22"/>
          <w:szCs w:val="22"/>
        </w:rPr>
        <w:t>Company Representations</w:t>
      </w:r>
    </w:p>
    <w:p w14:paraId="3B780259" w14:textId="3C6505B7" w:rsidR="00D00425" w:rsidRDefault="00D00425" w:rsidP="00F65BDB">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The Company is a corporation duly organized, validly existing and in good standing</w:t>
      </w:r>
      <w:bookmarkStart w:id="4" w:name="_Hlk54018903"/>
      <w:r>
        <w:rPr>
          <w:sz w:val="22"/>
          <w:szCs w:val="22"/>
        </w:rPr>
        <w:t xml:space="preserve"> </w:t>
      </w:r>
      <w:bookmarkEnd w:id="4"/>
      <w:r>
        <w:rPr>
          <w:sz w:val="22"/>
          <w:szCs w:val="22"/>
        </w:rPr>
        <w:t xml:space="preserve">under the laws of </w:t>
      </w:r>
      <w:r w:rsidR="00C3379D">
        <w:rPr>
          <w:sz w:val="22"/>
          <w:szCs w:val="22"/>
        </w:rPr>
        <w:t>its</w:t>
      </w:r>
      <w:r>
        <w:rPr>
          <w:sz w:val="22"/>
          <w:szCs w:val="22"/>
        </w:rPr>
        <w:t xml:space="preserve"> state of incorporation, </w:t>
      </w:r>
      <w:r w:rsidR="00243E1C">
        <w:rPr>
          <w:sz w:val="22"/>
          <w:szCs w:val="22"/>
        </w:rPr>
        <w:t xml:space="preserve">is duly licensed to conduct its business under </w:t>
      </w:r>
      <w:r>
        <w:rPr>
          <w:sz w:val="22"/>
          <w:szCs w:val="22"/>
        </w:rPr>
        <w:t xml:space="preserve">the laws of </w:t>
      </w:r>
      <w:r w:rsidR="00C3379D">
        <w:rPr>
          <w:sz w:val="22"/>
          <w:szCs w:val="22"/>
        </w:rPr>
        <w:t>its</w:t>
      </w:r>
      <w:r>
        <w:rPr>
          <w:sz w:val="22"/>
          <w:szCs w:val="22"/>
        </w:rPr>
        <w:t xml:space="preserve"> state of incorporation</w:t>
      </w:r>
      <w:r w:rsidR="00243E1C">
        <w:rPr>
          <w:sz w:val="22"/>
          <w:szCs w:val="22"/>
        </w:rPr>
        <w:t xml:space="preserve">, </w:t>
      </w:r>
      <w:r>
        <w:rPr>
          <w:sz w:val="22"/>
          <w:szCs w:val="22"/>
        </w:rPr>
        <w:t>and has the power and authority to own, lease and operate its properties and carry on its business as now conducted.</w:t>
      </w:r>
    </w:p>
    <w:p w14:paraId="05FED4E5" w14:textId="03345773" w:rsidR="003D010D" w:rsidRDefault="003D010D"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w:t>
      </w:r>
      <w:proofErr w:type="gramStart"/>
      <w:r>
        <w:rPr>
          <w:sz w:val="22"/>
          <w:szCs w:val="22"/>
        </w:rPr>
        <w:t>delivery</w:t>
      </w:r>
      <w:proofErr w:type="gramEnd"/>
      <w:r>
        <w:rPr>
          <w:sz w:val="22"/>
          <w:szCs w:val="22"/>
        </w:rPr>
        <w:t xml:space="preserve">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w:t>
      </w:r>
      <w:r w:rsidR="00D10C07">
        <w:rPr>
          <w:sz w:val="22"/>
          <w:szCs w:val="22"/>
        </w:rPr>
        <w:t>[</w:t>
      </w:r>
      <w:r w:rsidRPr="00D10C07">
        <w:rPr>
          <w:sz w:val="22"/>
          <w:szCs w:val="22"/>
          <w:highlight w:val="yellow"/>
        </w:rPr>
        <w:t>certificate</w:t>
      </w:r>
      <w:r w:rsidR="00D10C07" w:rsidRPr="00D10C07">
        <w:rPr>
          <w:sz w:val="22"/>
          <w:szCs w:val="22"/>
          <w:highlight w:val="yellow"/>
        </w:rPr>
        <w:t>/articles</w:t>
      </w:r>
      <w:r w:rsidR="00D10C07">
        <w:rPr>
          <w:sz w:val="22"/>
          <w:szCs w:val="22"/>
        </w:rPr>
        <w:t>]</w:t>
      </w:r>
      <w:r>
        <w:rPr>
          <w:sz w:val="22"/>
          <w:szCs w:val="22"/>
        </w:rPr>
        <w:t xml:space="preserv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1C3A1063" w14:textId="77777777"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14:paraId="7A936C78" w14:textId="0A9924F6" w:rsidR="003D010D"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8D5D87">
        <w:rPr>
          <w:sz w:val="22"/>
          <w:szCs w:val="22"/>
        </w:rPr>
        <w:t>; and (iv) Regulatory Approval</w:t>
      </w:r>
      <w:r w:rsidR="00E92AA6">
        <w:rPr>
          <w:sz w:val="22"/>
          <w:szCs w:val="22"/>
        </w:rPr>
        <w:t>s</w:t>
      </w:r>
      <w:r w:rsidR="003D010D">
        <w:rPr>
          <w:sz w:val="22"/>
          <w:szCs w:val="22"/>
        </w:rPr>
        <w:t>.</w:t>
      </w:r>
    </w:p>
    <w:p w14:paraId="04B534E1" w14:textId="77777777" w:rsidR="003D010D" w:rsidRPr="00D00425" w:rsidRDefault="00B3631B" w:rsidP="00F65BDB">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14:paraId="36BA43D3" w14:textId="48C0EF40" w:rsidR="00D00425" w:rsidRDefault="007C29F3" w:rsidP="00FC1E72">
      <w:pPr>
        <w:keepNext/>
        <w:tabs>
          <w:tab w:val="left" w:pos="360"/>
        </w:tabs>
        <w:autoSpaceDE w:val="0"/>
        <w:autoSpaceDN w:val="0"/>
        <w:adjustRightInd w:val="0"/>
        <w:spacing w:before="0" w:after="240"/>
        <w:ind w:left="-720" w:right="-360"/>
        <w:jc w:val="both"/>
        <w:rPr>
          <w:sz w:val="22"/>
          <w:szCs w:val="22"/>
        </w:rPr>
      </w:pPr>
      <w:r w:rsidRPr="009A27B9">
        <w:rPr>
          <w:b/>
          <w:sz w:val="22"/>
          <w:szCs w:val="22"/>
        </w:rPr>
        <w:t>4.</w:t>
      </w:r>
      <w:r w:rsidRPr="009A27B9">
        <w:rPr>
          <w:b/>
          <w:sz w:val="22"/>
          <w:szCs w:val="22"/>
        </w:rPr>
        <w:tab/>
      </w:r>
      <w:r w:rsidR="008C2626">
        <w:rPr>
          <w:b/>
          <w:i/>
          <w:sz w:val="22"/>
          <w:szCs w:val="22"/>
        </w:rPr>
        <w:t>Investor</w:t>
      </w:r>
      <w:r w:rsidRPr="00013409">
        <w:rPr>
          <w:b/>
          <w:i/>
          <w:sz w:val="22"/>
          <w:szCs w:val="22"/>
        </w:rPr>
        <w:t xml:space="preserve"> Representations</w:t>
      </w:r>
      <w:r w:rsidR="00494B06">
        <w:rPr>
          <w:b/>
          <w:i/>
          <w:sz w:val="22"/>
          <w:szCs w:val="22"/>
        </w:rPr>
        <w:t xml:space="preserve"> and Acknowledgements</w:t>
      </w:r>
    </w:p>
    <w:p w14:paraId="22C8D650" w14:textId="77777777" w:rsidR="0094024D" w:rsidRDefault="004F631E" w:rsidP="00F65BDB">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w:t>
      </w:r>
      <w:proofErr w:type="gramStart"/>
      <w:r w:rsidR="0094024D">
        <w:rPr>
          <w:sz w:val="22"/>
          <w:szCs w:val="22"/>
        </w:rPr>
        <w:t>power</w:t>
      </w:r>
      <w:proofErr w:type="gramEnd"/>
      <w:r w:rsidR="0094024D">
        <w:rPr>
          <w:sz w:val="22"/>
          <w:szCs w:val="22"/>
        </w:rPr>
        <w:t xml:space="preserve">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14:paraId="3B61B8BF" w14:textId="77777777" w:rsidR="00494B06" w:rsidRDefault="004F631E" w:rsidP="00494B06">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and acknowledges and agrees that if not an accredited investor at the time of an Equity Financing, the 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494B06">
        <w:rPr>
          <w:sz w:val="22"/>
          <w:szCs w:val="22"/>
        </w:rPr>
        <w:t>.</w:t>
      </w:r>
    </w:p>
    <w:p w14:paraId="0DD27AAE" w14:textId="6C6D75C1" w:rsidR="000369F1" w:rsidRDefault="00494B06" w:rsidP="001909A8">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Pr="0082218B">
        <w:rPr>
          <w:bCs/>
          <w:iCs/>
          <w:sz w:val="22"/>
          <w:szCs w:val="22"/>
        </w:rPr>
        <w:t>The Investor hereby acknowledges that the Company, through itself or a wholly-owned subsidiary, intends to conduct a business</w:t>
      </w:r>
      <w:r w:rsidRPr="00005C83">
        <w:rPr>
          <w:sz w:val="22"/>
          <w:szCs w:val="22"/>
        </w:rPr>
        <w:t xml:space="preserve"> </w:t>
      </w:r>
      <w:r w:rsidRPr="00005C83">
        <w:rPr>
          <w:bCs/>
          <w:iCs/>
          <w:sz w:val="22"/>
          <w:szCs w:val="22"/>
        </w:rPr>
        <w:t>that may relate to, or facilitate the cultivation, possession, manufacture, distribution, processing, storing, laboratory testing, packaging, labeling, transportation, delivery or sale of cannabis and cannabis products (any of the foregoing, “</w:t>
      </w:r>
      <w:r w:rsidRPr="00005C83">
        <w:rPr>
          <w:b/>
          <w:bCs/>
          <w:iCs/>
          <w:sz w:val="22"/>
          <w:szCs w:val="22"/>
        </w:rPr>
        <w:t>Commercial Cannabis Activity</w:t>
      </w:r>
      <w:r w:rsidRPr="00005C83">
        <w:rPr>
          <w:bCs/>
          <w:iCs/>
          <w:sz w:val="22"/>
          <w:szCs w:val="22"/>
        </w:rPr>
        <w:t>”)</w:t>
      </w:r>
      <w:r w:rsidRPr="0082218B">
        <w:rPr>
          <w:bCs/>
          <w:iCs/>
          <w:sz w:val="22"/>
          <w:szCs w:val="22"/>
        </w:rPr>
        <w:t xml:space="preserve">. Cannabis is a controlled substance and </w:t>
      </w:r>
      <w:r>
        <w:rPr>
          <w:bCs/>
          <w:iCs/>
          <w:sz w:val="22"/>
          <w:szCs w:val="22"/>
        </w:rPr>
        <w:t xml:space="preserve">Commercial Cannabis Activity </w:t>
      </w:r>
      <w:r w:rsidRPr="0082218B">
        <w:rPr>
          <w:bCs/>
          <w:iCs/>
          <w:sz w:val="22"/>
          <w:szCs w:val="22"/>
        </w:rPr>
        <w:t>is currently illegal under federal law. The Investor hereby acknowledges that</w:t>
      </w:r>
      <w:r>
        <w:rPr>
          <w:bCs/>
          <w:iCs/>
          <w:sz w:val="22"/>
          <w:szCs w:val="22"/>
        </w:rPr>
        <w:t xml:space="preserve">, </w:t>
      </w:r>
      <w:r w:rsidRPr="0082218B">
        <w:rPr>
          <w:bCs/>
          <w:iCs/>
          <w:sz w:val="22"/>
          <w:szCs w:val="22"/>
        </w:rPr>
        <w:t xml:space="preserve">notwithstanding </w:t>
      </w:r>
      <w:r>
        <w:rPr>
          <w:bCs/>
          <w:iCs/>
          <w:sz w:val="22"/>
          <w:szCs w:val="22"/>
        </w:rPr>
        <w:t xml:space="preserve">the Company’s representations in </w:t>
      </w:r>
      <w:r w:rsidRPr="0082218B">
        <w:rPr>
          <w:bCs/>
          <w:iCs/>
          <w:sz w:val="22"/>
          <w:szCs w:val="22"/>
        </w:rPr>
        <w:t xml:space="preserve">Section </w:t>
      </w:r>
      <w:r>
        <w:rPr>
          <w:bCs/>
          <w:iCs/>
          <w:sz w:val="22"/>
          <w:szCs w:val="22"/>
        </w:rPr>
        <w:t xml:space="preserve">3 above, the Company </w:t>
      </w:r>
      <w:r w:rsidRPr="00005C83">
        <w:rPr>
          <w:bCs/>
          <w:iCs/>
          <w:sz w:val="22"/>
          <w:szCs w:val="22"/>
        </w:rPr>
        <w:t xml:space="preserve">makes no representations or warranties with respect to compliance with </w:t>
      </w:r>
      <w:r w:rsidR="00E753EC">
        <w:rPr>
          <w:bCs/>
          <w:iCs/>
          <w:sz w:val="22"/>
          <w:szCs w:val="22"/>
        </w:rPr>
        <w:t xml:space="preserve">any </w:t>
      </w:r>
      <w:r w:rsidRPr="00005C83">
        <w:rPr>
          <w:bCs/>
          <w:iCs/>
          <w:sz w:val="22"/>
          <w:szCs w:val="22"/>
        </w:rPr>
        <w:t>federal law</w:t>
      </w:r>
      <w:bookmarkStart w:id="5" w:name="_Hlk54019816"/>
      <w:r w:rsidR="00E753EC">
        <w:rPr>
          <w:bCs/>
          <w:iCs/>
          <w:sz w:val="22"/>
          <w:szCs w:val="22"/>
        </w:rPr>
        <w:t xml:space="preserve">, rule or regulation </w:t>
      </w:r>
      <w:r w:rsidR="00E753EC" w:rsidRPr="006E7408">
        <w:rPr>
          <w:bCs/>
          <w:iCs/>
          <w:sz w:val="22"/>
          <w:szCs w:val="22"/>
        </w:rPr>
        <w:t>(including but not limited to</w:t>
      </w:r>
      <w:r w:rsidR="0022727B" w:rsidRPr="006E7408">
        <w:rPr>
          <w:bCs/>
          <w:iCs/>
          <w:sz w:val="22"/>
          <w:szCs w:val="22"/>
        </w:rPr>
        <w:t xml:space="preserve"> </w:t>
      </w:r>
      <w:bookmarkStart w:id="6" w:name="_Hlk54019038"/>
      <w:r w:rsidR="00E753EC" w:rsidRPr="006E7408">
        <w:rPr>
          <w:bCs/>
          <w:iCs/>
          <w:sz w:val="22"/>
          <w:szCs w:val="22"/>
        </w:rPr>
        <w:t xml:space="preserve">Section 280E of the Internal Revenue Code of 1986 and Title 21 USC Section 801 et seq </w:t>
      </w:r>
      <w:r w:rsidR="004E40AD">
        <w:rPr>
          <w:bCs/>
          <w:iCs/>
          <w:sz w:val="22"/>
          <w:szCs w:val="22"/>
        </w:rPr>
        <w:t>(</w:t>
      </w:r>
      <w:r w:rsidR="00E753EC" w:rsidRPr="006E7408">
        <w:rPr>
          <w:bCs/>
          <w:iCs/>
          <w:sz w:val="22"/>
          <w:szCs w:val="22"/>
        </w:rPr>
        <w:t>the Controlled Substances Act</w:t>
      </w:r>
      <w:r w:rsidR="004E40AD">
        <w:rPr>
          <w:bCs/>
          <w:iCs/>
          <w:sz w:val="22"/>
          <w:szCs w:val="22"/>
        </w:rPr>
        <w:t>)</w:t>
      </w:r>
      <w:r w:rsidR="00E753EC" w:rsidRPr="006E7408">
        <w:rPr>
          <w:bCs/>
          <w:iCs/>
          <w:sz w:val="22"/>
          <w:szCs w:val="22"/>
        </w:rPr>
        <w:t xml:space="preserve">), </w:t>
      </w:r>
      <w:bookmarkEnd w:id="5"/>
      <w:r w:rsidR="0022727B" w:rsidRPr="006E7408">
        <w:rPr>
          <w:bCs/>
          <w:iCs/>
          <w:sz w:val="22"/>
          <w:szCs w:val="22"/>
        </w:rPr>
        <w:t>the ability to obtain insu</w:t>
      </w:r>
      <w:r w:rsidR="001909A8" w:rsidRPr="006E7408">
        <w:rPr>
          <w:bCs/>
          <w:iCs/>
          <w:sz w:val="22"/>
          <w:szCs w:val="22"/>
        </w:rPr>
        <w:t xml:space="preserve">rance, </w:t>
      </w:r>
      <w:r w:rsidR="00A53459">
        <w:rPr>
          <w:bCs/>
          <w:iCs/>
          <w:sz w:val="22"/>
          <w:szCs w:val="22"/>
        </w:rPr>
        <w:t xml:space="preserve">avail itself of bankruptcy laws, </w:t>
      </w:r>
      <w:r w:rsidR="001909A8" w:rsidRPr="006E7408">
        <w:rPr>
          <w:bCs/>
          <w:iCs/>
          <w:sz w:val="22"/>
          <w:szCs w:val="22"/>
        </w:rPr>
        <w:t xml:space="preserve">bank accounts, or </w:t>
      </w:r>
      <w:r w:rsidR="0022727B" w:rsidRPr="006E7408">
        <w:rPr>
          <w:bCs/>
          <w:iCs/>
          <w:sz w:val="22"/>
          <w:szCs w:val="22"/>
        </w:rPr>
        <w:t>federal trademark protection, or the existence of any attorney-client privilege in connection with Commercial Cannabis Activity</w:t>
      </w:r>
      <w:bookmarkEnd w:id="6"/>
      <w:r w:rsidRPr="0082218B">
        <w:rPr>
          <w:bCs/>
          <w:iCs/>
          <w:sz w:val="22"/>
          <w:szCs w:val="22"/>
        </w:rPr>
        <w:t xml:space="preserve">.  The Investor </w:t>
      </w:r>
      <w:r w:rsidRPr="00005C83">
        <w:rPr>
          <w:bCs/>
          <w:iCs/>
          <w:sz w:val="22"/>
          <w:szCs w:val="22"/>
        </w:rPr>
        <w:t xml:space="preserve">hereby acknowledges that under cannabis-specific statutes, rules, regulations or ordinances </w:t>
      </w:r>
      <w:bookmarkStart w:id="7" w:name="_Hlk54087095"/>
      <w:r w:rsidR="00625430" w:rsidRPr="006E7408">
        <w:rPr>
          <w:bCs/>
          <w:iCs/>
          <w:sz w:val="22"/>
          <w:szCs w:val="22"/>
        </w:rPr>
        <w:t xml:space="preserve">of the </w:t>
      </w:r>
      <w:r w:rsidR="005F7064">
        <w:rPr>
          <w:bCs/>
          <w:iCs/>
          <w:sz w:val="22"/>
          <w:szCs w:val="22"/>
        </w:rPr>
        <w:t>Licensing J</w:t>
      </w:r>
      <w:r w:rsidR="00625430" w:rsidRPr="006E7408">
        <w:rPr>
          <w:bCs/>
          <w:iCs/>
          <w:sz w:val="22"/>
          <w:szCs w:val="22"/>
        </w:rPr>
        <w:t>urisdiction</w:t>
      </w:r>
      <w:r w:rsidR="00A04F1C">
        <w:rPr>
          <w:bCs/>
          <w:iCs/>
          <w:sz w:val="22"/>
          <w:szCs w:val="22"/>
        </w:rPr>
        <w:t>(</w:t>
      </w:r>
      <w:r w:rsidR="00625430" w:rsidRPr="006E7408">
        <w:rPr>
          <w:bCs/>
          <w:iCs/>
          <w:sz w:val="22"/>
          <w:szCs w:val="22"/>
        </w:rPr>
        <w:t>s</w:t>
      </w:r>
      <w:r w:rsidR="00A04F1C">
        <w:rPr>
          <w:bCs/>
          <w:iCs/>
          <w:sz w:val="22"/>
          <w:szCs w:val="22"/>
        </w:rPr>
        <w:t>)</w:t>
      </w:r>
      <w:r w:rsidR="00625430">
        <w:rPr>
          <w:bCs/>
          <w:iCs/>
          <w:sz w:val="22"/>
          <w:szCs w:val="22"/>
        </w:rPr>
        <w:t xml:space="preserve"> </w:t>
      </w:r>
      <w:bookmarkEnd w:id="7"/>
      <w:r w:rsidRPr="00005C83">
        <w:rPr>
          <w:bCs/>
          <w:iCs/>
          <w:sz w:val="22"/>
          <w:szCs w:val="22"/>
        </w:rPr>
        <w:t>(collectively, the “</w:t>
      </w:r>
      <w:r w:rsidRPr="00005C83">
        <w:rPr>
          <w:b/>
          <w:bCs/>
          <w:iCs/>
          <w:sz w:val="22"/>
          <w:szCs w:val="22"/>
        </w:rPr>
        <w:t>Cannabis Laws</w:t>
      </w:r>
      <w:r w:rsidRPr="00005C83">
        <w:rPr>
          <w:bCs/>
          <w:iCs/>
          <w:sz w:val="22"/>
          <w:szCs w:val="22"/>
        </w:rPr>
        <w:t>”) the Company currently has ongoing compliance and disclosure obligations in [</w:t>
      </w:r>
      <w:r w:rsidR="005F7064">
        <w:rPr>
          <w:bCs/>
          <w:iCs/>
          <w:sz w:val="22"/>
          <w:szCs w:val="22"/>
        </w:rPr>
        <w:t xml:space="preserve">NTD: </w:t>
      </w:r>
      <w:r w:rsidR="005F7064" w:rsidRPr="003E57AF">
        <w:rPr>
          <w:bCs/>
          <w:i/>
          <w:sz w:val="22"/>
          <w:szCs w:val="22"/>
        </w:rPr>
        <w:t xml:space="preserve">Identify </w:t>
      </w:r>
      <w:r w:rsidR="005F7064" w:rsidRPr="003E57AF">
        <w:rPr>
          <w:bCs/>
          <w:i/>
          <w:sz w:val="22"/>
          <w:szCs w:val="22"/>
          <w:highlight w:val="yellow"/>
        </w:rPr>
        <w:t>Licensing</w:t>
      </w:r>
      <w:r w:rsidR="004E40AD" w:rsidRPr="003E57AF">
        <w:rPr>
          <w:bCs/>
          <w:i/>
          <w:sz w:val="22"/>
          <w:szCs w:val="22"/>
          <w:highlight w:val="yellow"/>
        </w:rPr>
        <w:t xml:space="preserve"> Jurisdictions</w:t>
      </w:r>
      <w:r w:rsidRPr="00005C83">
        <w:rPr>
          <w:bCs/>
          <w:iCs/>
          <w:sz w:val="22"/>
          <w:szCs w:val="22"/>
        </w:rPr>
        <w:t xml:space="preserve">] and may have additional obligations in additional states </w:t>
      </w:r>
      <w:r w:rsidR="0022727B">
        <w:rPr>
          <w:bCs/>
          <w:iCs/>
          <w:sz w:val="22"/>
          <w:szCs w:val="22"/>
        </w:rPr>
        <w:t xml:space="preserve">in which </w:t>
      </w:r>
      <w:r w:rsidRPr="00005C83">
        <w:rPr>
          <w:bCs/>
          <w:iCs/>
          <w:sz w:val="22"/>
          <w:szCs w:val="22"/>
        </w:rPr>
        <w:t xml:space="preserve">the Company will conduct business, and the </w:t>
      </w:r>
      <w:r>
        <w:rPr>
          <w:bCs/>
          <w:iCs/>
          <w:sz w:val="22"/>
          <w:szCs w:val="22"/>
        </w:rPr>
        <w:t>Investor</w:t>
      </w:r>
      <w:r w:rsidRPr="00005C83">
        <w:rPr>
          <w:bCs/>
          <w:iCs/>
          <w:sz w:val="22"/>
          <w:szCs w:val="22"/>
        </w:rPr>
        <w:t xml:space="preserve"> hereby acknowledges and agrees to cooperate with the Company to comply with any and all disclosure and/or reporting obligations pursuant to such Cannabis </w:t>
      </w:r>
      <w:r>
        <w:rPr>
          <w:bCs/>
          <w:iCs/>
          <w:sz w:val="22"/>
          <w:szCs w:val="22"/>
        </w:rPr>
        <w:t>Laws</w:t>
      </w:r>
      <w:r w:rsidR="00FC1E72">
        <w:rPr>
          <w:sz w:val="22"/>
          <w:szCs w:val="22"/>
        </w:rPr>
        <w:t>.</w:t>
      </w:r>
      <w:r w:rsidR="000369F1">
        <w:rPr>
          <w:sz w:val="22"/>
          <w:szCs w:val="22"/>
        </w:rPr>
        <w:t xml:space="preserve"> </w:t>
      </w:r>
    </w:p>
    <w:p w14:paraId="5CE2C86C" w14:textId="49CDDAFE" w:rsidR="001909A8" w:rsidRDefault="001909A8" w:rsidP="003E57AF">
      <w:pPr>
        <w:pStyle w:val="Heading2"/>
        <w:numPr>
          <w:ilvl w:val="0"/>
          <w:numId w:val="0"/>
        </w:numPr>
        <w:spacing w:after="240"/>
        <w:ind w:left="-720" w:right="-360" w:firstLine="720"/>
        <w:jc w:val="both"/>
      </w:pPr>
      <w:bookmarkStart w:id="8" w:name="_Hlk54018961"/>
      <w:r>
        <w:rPr>
          <w:sz w:val="22"/>
          <w:szCs w:val="22"/>
        </w:rPr>
        <w:t xml:space="preserve">(d)     Investor understands and agrees that Regulatory Approval may require certain disclosures by Investor in connection with this Safe, including but not limited to disclosure of financial records and a complete </w:t>
      </w:r>
      <w:r w:rsidR="0096585B">
        <w:rPr>
          <w:sz w:val="22"/>
          <w:szCs w:val="22"/>
        </w:rPr>
        <w:t xml:space="preserve">U.S. </w:t>
      </w:r>
      <w:r>
        <w:rPr>
          <w:sz w:val="22"/>
          <w:szCs w:val="22"/>
        </w:rPr>
        <w:t>Department of Justice background check</w:t>
      </w:r>
      <w:r w:rsidR="00025118">
        <w:rPr>
          <w:sz w:val="22"/>
          <w:szCs w:val="22"/>
        </w:rPr>
        <w:t xml:space="preserve"> in each state in which Company conducts Commercial Cannabis Activity</w:t>
      </w:r>
      <w:r>
        <w:rPr>
          <w:sz w:val="22"/>
          <w:szCs w:val="22"/>
        </w:rPr>
        <w:t xml:space="preserve">. Investor represents and warrants that s/he/it will </w:t>
      </w:r>
      <w:r w:rsidR="00025118">
        <w:rPr>
          <w:sz w:val="22"/>
          <w:szCs w:val="22"/>
        </w:rPr>
        <w:t xml:space="preserve">timely and fully cooperate </w:t>
      </w:r>
      <w:r>
        <w:rPr>
          <w:sz w:val="22"/>
          <w:szCs w:val="22"/>
        </w:rPr>
        <w:t xml:space="preserve">with all requests </w:t>
      </w:r>
      <w:r w:rsidR="00025118">
        <w:rPr>
          <w:sz w:val="22"/>
          <w:szCs w:val="22"/>
        </w:rPr>
        <w:t xml:space="preserve">for information </w:t>
      </w:r>
      <w:r>
        <w:rPr>
          <w:sz w:val="22"/>
          <w:szCs w:val="22"/>
        </w:rPr>
        <w:t>o</w:t>
      </w:r>
      <w:r w:rsidR="00025118">
        <w:rPr>
          <w:sz w:val="22"/>
          <w:szCs w:val="22"/>
        </w:rPr>
        <w:t xml:space="preserve">f Company and </w:t>
      </w:r>
      <w:r w:rsidR="00A04F1C">
        <w:rPr>
          <w:sz w:val="22"/>
          <w:szCs w:val="22"/>
        </w:rPr>
        <w:t>s</w:t>
      </w:r>
      <w:r w:rsidR="00025118">
        <w:rPr>
          <w:sz w:val="22"/>
          <w:szCs w:val="22"/>
        </w:rPr>
        <w:t xml:space="preserve">tate </w:t>
      </w:r>
      <w:r w:rsidR="00B06AD7">
        <w:rPr>
          <w:sz w:val="22"/>
          <w:szCs w:val="22"/>
        </w:rPr>
        <w:t xml:space="preserve">and local </w:t>
      </w:r>
      <w:r w:rsidR="00025118">
        <w:rPr>
          <w:sz w:val="22"/>
          <w:szCs w:val="22"/>
        </w:rPr>
        <w:t>regulators in connection with this Regulatory Approval process.</w:t>
      </w:r>
      <w:bookmarkEnd w:id="8"/>
      <w:r w:rsidR="004C252A">
        <w:rPr>
          <w:sz w:val="22"/>
          <w:szCs w:val="22"/>
        </w:rPr>
        <w:t xml:space="preserve">  </w:t>
      </w:r>
      <w:r w:rsidR="0096585B">
        <w:rPr>
          <w:sz w:val="22"/>
          <w:szCs w:val="22"/>
        </w:rPr>
        <w:t>[</w:t>
      </w:r>
      <w:r w:rsidR="00FF4AA9">
        <w:rPr>
          <w:sz w:val="22"/>
          <w:szCs w:val="22"/>
        </w:rPr>
        <w:t xml:space="preserve">NTD: </w:t>
      </w:r>
      <w:r w:rsidR="00EC2067" w:rsidRPr="000A5C96">
        <w:rPr>
          <w:i/>
          <w:iCs/>
          <w:sz w:val="22"/>
          <w:szCs w:val="22"/>
          <w:highlight w:val="yellow"/>
        </w:rPr>
        <w:t>FOR SOCIAL EQUITY COMPANIES</w:t>
      </w:r>
      <w:r w:rsidR="00EC2067" w:rsidRPr="000E5135">
        <w:rPr>
          <w:i/>
          <w:iCs/>
          <w:sz w:val="22"/>
          <w:szCs w:val="22"/>
        </w:rPr>
        <w:t xml:space="preserve">: </w:t>
      </w:r>
      <w:r w:rsidR="004C252A">
        <w:rPr>
          <w:sz w:val="22"/>
          <w:szCs w:val="22"/>
        </w:rPr>
        <w:t>Invest</w:t>
      </w:r>
      <w:r w:rsidR="0096585B">
        <w:rPr>
          <w:sz w:val="22"/>
          <w:szCs w:val="22"/>
        </w:rPr>
        <w:t>or</w:t>
      </w:r>
      <w:r w:rsidR="004C252A">
        <w:rPr>
          <w:sz w:val="22"/>
          <w:szCs w:val="22"/>
        </w:rPr>
        <w:t xml:space="preserve"> further understand</w:t>
      </w:r>
      <w:r w:rsidR="0096585B">
        <w:rPr>
          <w:sz w:val="22"/>
          <w:szCs w:val="22"/>
        </w:rPr>
        <w:t>s</w:t>
      </w:r>
      <w:r w:rsidR="00F65AA9">
        <w:rPr>
          <w:sz w:val="22"/>
          <w:szCs w:val="22"/>
        </w:rPr>
        <w:t xml:space="preserve"> and acknowledges that </w:t>
      </w:r>
      <w:r w:rsidR="00EC2067">
        <w:rPr>
          <w:sz w:val="22"/>
          <w:szCs w:val="22"/>
        </w:rPr>
        <w:t>(</w:t>
      </w:r>
      <w:proofErr w:type="spellStart"/>
      <w:r w:rsidR="00EC2067">
        <w:rPr>
          <w:sz w:val="22"/>
          <w:szCs w:val="22"/>
        </w:rPr>
        <w:t>i</w:t>
      </w:r>
      <w:proofErr w:type="spellEnd"/>
      <w:r w:rsidR="00EC2067">
        <w:rPr>
          <w:sz w:val="22"/>
          <w:szCs w:val="22"/>
        </w:rPr>
        <w:t xml:space="preserve">) </w:t>
      </w:r>
      <w:r w:rsidR="00F65AA9">
        <w:rPr>
          <w:sz w:val="22"/>
          <w:szCs w:val="22"/>
        </w:rPr>
        <w:t xml:space="preserve">the Company </w:t>
      </w:r>
      <w:r w:rsidR="0096585B">
        <w:rPr>
          <w:sz w:val="22"/>
          <w:szCs w:val="22"/>
        </w:rPr>
        <w:t>has</w:t>
      </w:r>
      <w:r w:rsidR="00EC2067">
        <w:rPr>
          <w:sz w:val="22"/>
          <w:szCs w:val="22"/>
        </w:rPr>
        <w:t xml:space="preserve"> received</w:t>
      </w:r>
      <w:r w:rsidR="00F65AA9">
        <w:rPr>
          <w:sz w:val="22"/>
          <w:szCs w:val="22"/>
        </w:rPr>
        <w:t xml:space="preserve"> preferential licensing</w:t>
      </w:r>
      <w:r w:rsidR="0096585B">
        <w:rPr>
          <w:sz w:val="22"/>
          <w:szCs w:val="22"/>
        </w:rPr>
        <w:t xml:space="preserve"> and</w:t>
      </w:r>
      <w:r w:rsidR="00EC2067">
        <w:rPr>
          <w:sz w:val="22"/>
          <w:szCs w:val="22"/>
        </w:rPr>
        <w:t>/or</w:t>
      </w:r>
      <w:r w:rsidR="0096585B">
        <w:rPr>
          <w:sz w:val="22"/>
          <w:szCs w:val="22"/>
        </w:rPr>
        <w:t xml:space="preserve"> other benefits reserved for </w:t>
      </w:r>
      <w:r w:rsidR="00B07371">
        <w:rPr>
          <w:sz w:val="22"/>
          <w:szCs w:val="22"/>
        </w:rPr>
        <w:t xml:space="preserve">certain </w:t>
      </w:r>
      <w:r w:rsidR="0096585B">
        <w:rPr>
          <w:sz w:val="22"/>
          <w:szCs w:val="22"/>
        </w:rPr>
        <w:t>applicants</w:t>
      </w:r>
      <w:r w:rsidR="00F65AA9">
        <w:rPr>
          <w:sz w:val="22"/>
          <w:szCs w:val="22"/>
        </w:rPr>
        <w:t xml:space="preserve"> under Cannabis Laws </w:t>
      </w:r>
      <w:r w:rsidR="00EC2067">
        <w:rPr>
          <w:sz w:val="22"/>
          <w:szCs w:val="22"/>
        </w:rPr>
        <w:t>for the purpose of redressing individual and societal harms arising from the Licensing Jurisdictions’ past criminal prohibition of Commercial Cannabis Activity (“</w:t>
      </w:r>
      <w:r w:rsidR="00EC2067" w:rsidRPr="00F04722">
        <w:rPr>
          <w:b/>
          <w:bCs/>
          <w:sz w:val="22"/>
          <w:szCs w:val="22"/>
        </w:rPr>
        <w:t>Social Equity Laws</w:t>
      </w:r>
      <w:r w:rsidR="00EC2067">
        <w:rPr>
          <w:sz w:val="22"/>
          <w:szCs w:val="22"/>
        </w:rPr>
        <w:t xml:space="preserve">”), and (ii) that such Social Equity Laws may mandate additional </w:t>
      </w:r>
      <w:r w:rsidR="0015017D">
        <w:rPr>
          <w:sz w:val="22"/>
          <w:szCs w:val="22"/>
        </w:rPr>
        <w:t xml:space="preserve">preemptive rights and other </w:t>
      </w:r>
      <w:r w:rsidR="00EC2067">
        <w:rPr>
          <w:sz w:val="22"/>
          <w:szCs w:val="22"/>
        </w:rPr>
        <w:t xml:space="preserve">anti-dilution protections for the Company’s </w:t>
      </w:r>
      <w:r w:rsidR="0015017D">
        <w:rPr>
          <w:sz w:val="22"/>
          <w:szCs w:val="22"/>
        </w:rPr>
        <w:t xml:space="preserve">social equity-qualified </w:t>
      </w:r>
      <w:r w:rsidR="00EC2067">
        <w:rPr>
          <w:sz w:val="22"/>
          <w:szCs w:val="22"/>
        </w:rPr>
        <w:t>founders</w:t>
      </w:r>
      <w:r w:rsidR="0015017D">
        <w:rPr>
          <w:sz w:val="22"/>
          <w:szCs w:val="22"/>
        </w:rPr>
        <w:t xml:space="preserve"> (“</w:t>
      </w:r>
      <w:r w:rsidR="0015017D" w:rsidRPr="003E57AF">
        <w:rPr>
          <w:b/>
          <w:bCs/>
          <w:sz w:val="22"/>
          <w:szCs w:val="22"/>
        </w:rPr>
        <w:t>Founders</w:t>
      </w:r>
      <w:r w:rsidR="0015017D">
        <w:rPr>
          <w:sz w:val="22"/>
          <w:szCs w:val="22"/>
        </w:rPr>
        <w:t>”)</w:t>
      </w:r>
      <w:r w:rsidR="00EC2067">
        <w:rPr>
          <w:sz w:val="22"/>
          <w:szCs w:val="22"/>
        </w:rPr>
        <w:t xml:space="preserve">, </w:t>
      </w:r>
      <w:r w:rsidR="0015017D">
        <w:rPr>
          <w:sz w:val="22"/>
          <w:szCs w:val="22"/>
        </w:rPr>
        <w:t>as well as other rules governing a Change of Control of the Company and the Founders’ governance and control of the Company, notwithstanding any rights Investor may otherwise have under this Safe.]</w:t>
      </w:r>
      <w:r w:rsidR="00EC2067">
        <w:rPr>
          <w:sz w:val="22"/>
          <w:szCs w:val="22"/>
        </w:rPr>
        <w:t xml:space="preserve">  </w:t>
      </w:r>
    </w:p>
    <w:p w14:paraId="5EB920DA" w14:textId="77777777" w:rsidR="0094024D" w:rsidRDefault="00EC0F44" w:rsidP="00FC1E72">
      <w:pPr>
        <w:keepNext/>
        <w:tabs>
          <w:tab w:val="left" w:pos="360"/>
        </w:tabs>
        <w:autoSpaceDE w:val="0"/>
        <w:autoSpaceDN w:val="0"/>
        <w:adjustRightInd w:val="0"/>
        <w:spacing w:before="0" w:after="240"/>
        <w:ind w:left="-720" w:right="-360"/>
        <w:jc w:val="both"/>
        <w:rPr>
          <w:b/>
          <w:i/>
          <w:sz w:val="22"/>
          <w:szCs w:val="22"/>
        </w:rPr>
      </w:pPr>
      <w:r w:rsidRPr="009A27B9">
        <w:rPr>
          <w:b/>
          <w:sz w:val="22"/>
          <w:szCs w:val="22"/>
        </w:rPr>
        <w:t>5.</w:t>
      </w:r>
      <w:r w:rsidR="00F473F4" w:rsidRPr="009A27B9">
        <w:rPr>
          <w:b/>
          <w:sz w:val="22"/>
          <w:szCs w:val="22"/>
        </w:rPr>
        <w:tab/>
      </w:r>
      <w:r>
        <w:rPr>
          <w:b/>
          <w:i/>
          <w:sz w:val="22"/>
          <w:szCs w:val="22"/>
        </w:rPr>
        <w:t>Miscellaneous</w:t>
      </w:r>
    </w:p>
    <w:p w14:paraId="7F2E3B82" w14:textId="77777777" w:rsidR="0094024D" w:rsidRPr="00861B01" w:rsidRDefault="00F473F4" w:rsidP="00F65BDB">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w:t>
      </w:r>
      <w:proofErr w:type="gramStart"/>
      <w:r w:rsidR="00C942DD">
        <w:rPr>
          <w:sz w:val="22"/>
          <w:szCs w:val="22"/>
        </w:rPr>
        <w:t>all of</w:t>
      </w:r>
      <w:proofErr w:type="gramEnd"/>
      <w:r w:rsidR="00C942DD">
        <w:rPr>
          <w:sz w:val="22"/>
          <w:szCs w:val="22"/>
        </w:rPr>
        <w:t xml:space="preserve">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14:paraId="2BADF525" w14:textId="77777777" w:rsidR="00BE7250" w:rsidRDefault="00EC0F44" w:rsidP="00F65BDB">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BA25D4A" w14:textId="77777777" w:rsidR="00E23215" w:rsidRDefault="007866A3" w:rsidP="00F65BDB">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14:paraId="2EE1B959" w14:textId="3D989A33" w:rsidR="00E23215" w:rsidRDefault="00F917CB" w:rsidP="00F65BDB">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Pr>
          <w:sz w:val="22"/>
          <w:szCs w:val="22"/>
        </w:rPr>
        <w:t xml:space="preserve">are </w:t>
      </w:r>
      <w:r w:rsidR="00E32668">
        <w:rPr>
          <w:sz w:val="22"/>
          <w:szCs w:val="22"/>
        </w:rPr>
        <w:t xml:space="preserve">transferable or </w:t>
      </w:r>
      <w:r w:rsidR="00AD34EF">
        <w:rPr>
          <w:sz w:val="22"/>
          <w:szCs w:val="22"/>
        </w:rPr>
        <w:t>assignable</w:t>
      </w:r>
      <w:r w:rsidR="001D7B14">
        <w:rPr>
          <w:sz w:val="22"/>
          <w:szCs w:val="22"/>
        </w:rPr>
        <w:t xml:space="preserve">, by operation of law or otherwise, by </w:t>
      </w:r>
      <w:r w:rsidR="00D25E25">
        <w:rPr>
          <w:sz w:val="22"/>
          <w:szCs w:val="22"/>
        </w:rPr>
        <w:t xml:space="preserve">either party </w:t>
      </w:r>
      <w:r w:rsidR="001D7B14">
        <w:rPr>
          <w:sz w:val="22"/>
          <w:szCs w:val="22"/>
        </w:rPr>
        <w:t xml:space="preserve">without the prior written consent </w:t>
      </w:r>
      <w:r w:rsidR="001D7B14" w:rsidRPr="00712588">
        <w:rPr>
          <w:color w:val="000000" w:themeColor="text1"/>
          <w:sz w:val="22"/>
          <w:szCs w:val="22"/>
        </w:rPr>
        <w:t xml:space="preserve">of the </w:t>
      </w:r>
      <w:r w:rsidR="00D25E25" w:rsidRPr="00712588">
        <w:rPr>
          <w:color w:val="000000" w:themeColor="text1"/>
          <w:sz w:val="22"/>
          <w:szCs w:val="22"/>
        </w:rPr>
        <w:t>other</w:t>
      </w:r>
      <w:r w:rsidR="00347B1F" w:rsidRPr="00712588">
        <w:rPr>
          <w:color w:val="000000" w:themeColor="text1"/>
          <w:sz w:val="22"/>
          <w:szCs w:val="22"/>
        </w:rPr>
        <w:t xml:space="preserve">; </w:t>
      </w:r>
      <w:r w:rsidR="00347B1F" w:rsidRPr="00712588">
        <w:rPr>
          <w:i/>
          <w:color w:val="000000" w:themeColor="text1"/>
          <w:sz w:val="22"/>
          <w:szCs w:val="22"/>
        </w:rPr>
        <w:t>provided, however</w:t>
      </w:r>
      <w:r w:rsidR="00347B1F" w:rsidRPr="00712588">
        <w:rPr>
          <w:color w:val="000000" w:themeColor="text1"/>
          <w:sz w:val="22"/>
          <w:szCs w:val="22"/>
        </w:rPr>
        <w:t xml:space="preserve">, </w:t>
      </w:r>
      <w:r w:rsidR="00B160B2" w:rsidRPr="00712588">
        <w:rPr>
          <w:color w:val="000000" w:themeColor="text1"/>
          <w:sz w:val="22"/>
          <w:szCs w:val="22"/>
        </w:rPr>
        <w:t xml:space="preserve">that </w:t>
      </w:r>
      <w:r w:rsidR="00870F43" w:rsidRPr="00712588">
        <w:rPr>
          <w:color w:val="000000" w:themeColor="text1"/>
          <w:sz w:val="22"/>
          <w:szCs w:val="22"/>
        </w:rPr>
        <w:t xml:space="preserve">this </w:t>
      </w:r>
      <w:r w:rsidR="00634259" w:rsidRPr="00712588">
        <w:rPr>
          <w:color w:val="000000" w:themeColor="text1"/>
          <w:sz w:val="22"/>
          <w:szCs w:val="22"/>
        </w:rPr>
        <w:t xml:space="preserve">Safe </w:t>
      </w:r>
      <w:r w:rsidR="00870F43" w:rsidRPr="00712588">
        <w:rPr>
          <w:color w:val="000000" w:themeColor="text1"/>
          <w:sz w:val="22"/>
          <w:szCs w:val="22"/>
        </w:rPr>
        <w:t xml:space="preserve">and/or </w:t>
      </w:r>
      <w:r w:rsidR="00AF0884" w:rsidRPr="00712588">
        <w:rPr>
          <w:color w:val="000000" w:themeColor="text1"/>
          <w:sz w:val="22"/>
          <w:szCs w:val="22"/>
        </w:rPr>
        <w:t>its</w:t>
      </w:r>
      <w:r w:rsidR="00B160B2" w:rsidRPr="00712588">
        <w:rPr>
          <w:color w:val="000000" w:themeColor="text1"/>
          <w:sz w:val="22"/>
          <w:szCs w:val="22"/>
        </w:rPr>
        <w:t xml:space="preserve"> rights may be assigned </w:t>
      </w:r>
      <w:r w:rsidR="00494B06">
        <w:rPr>
          <w:sz w:val="22"/>
          <w:szCs w:val="22"/>
        </w:rPr>
        <w:t xml:space="preserve">(subject to </w:t>
      </w:r>
      <w:r w:rsidR="00792C4E">
        <w:rPr>
          <w:sz w:val="22"/>
          <w:szCs w:val="22"/>
        </w:rPr>
        <w:t>Regulatory Approval</w:t>
      </w:r>
      <w:r w:rsidR="000E7C7B">
        <w:rPr>
          <w:sz w:val="22"/>
          <w:szCs w:val="22"/>
        </w:rPr>
        <w:t>s, if any</w:t>
      </w:r>
      <w:r w:rsidR="00494B06">
        <w:rPr>
          <w:sz w:val="22"/>
          <w:szCs w:val="22"/>
        </w:rPr>
        <w:t xml:space="preserve">) </w:t>
      </w:r>
      <w:r w:rsidR="00B160B2" w:rsidRPr="00712588">
        <w:rPr>
          <w:color w:val="000000" w:themeColor="text1"/>
          <w:sz w:val="22"/>
          <w:szCs w:val="22"/>
        </w:rPr>
        <w:t xml:space="preserve">without the Company’s consent by the Investor </w:t>
      </w:r>
      <w:r w:rsidR="006104D3" w:rsidRPr="00712588">
        <w:rPr>
          <w:color w:val="000000" w:themeColor="text1"/>
          <w:sz w:val="22"/>
          <w:szCs w:val="22"/>
        </w:rPr>
        <w:t>(</w:t>
      </w:r>
      <w:proofErr w:type="spellStart"/>
      <w:r w:rsidR="006104D3" w:rsidRPr="00712588">
        <w:rPr>
          <w:color w:val="000000" w:themeColor="text1"/>
          <w:sz w:val="22"/>
          <w:szCs w:val="22"/>
          <w:shd w:val="clear" w:color="auto" w:fill="FFFFFF"/>
        </w:rPr>
        <w:t>i</w:t>
      </w:r>
      <w:proofErr w:type="spellEnd"/>
      <w:r w:rsidR="006104D3" w:rsidRPr="00712588">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160B2" w:rsidRPr="00712588">
        <w:rPr>
          <w:color w:val="000000" w:themeColor="text1"/>
          <w:sz w:val="22"/>
          <w:szCs w:val="22"/>
          <w:lang w:eastAsia="zh-TW"/>
        </w:rPr>
        <w:t xml:space="preserve">to any </w:t>
      </w:r>
      <w:r w:rsidR="00B160B2" w:rsidRPr="00B160B2">
        <w:rPr>
          <w:sz w:val="22"/>
          <w:szCs w:val="22"/>
          <w:lang w:eastAsia="zh-TW"/>
        </w:rPr>
        <w:t xml:space="preserve">other entity who directly or indirectly, controls, is controlled by or is under common control with </w:t>
      </w:r>
      <w:r w:rsidR="005A7B41">
        <w:rPr>
          <w:sz w:val="22"/>
          <w:szCs w:val="22"/>
          <w:lang w:eastAsia="zh-TW"/>
        </w:rPr>
        <w:t>the</w:t>
      </w:r>
      <w:r w:rsidR="00B160B2" w:rsidRPr="00B160B2">
        <w:rPr>
          <w:sz w:val="22"/>
          <w:szCs w:val="22"/>
          <w:lang w:eastAsia="zh-TW"/>
        </w:rPr>
        <w:t xml:space="preserve"> Investor, including, without 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 xml:space="preserve">that the Company may assign this </w:t>
      </w:r>
      <w:r w:rsidR="00634259">
        <w:rPr>
          <w:sz w:val="22"/>
          <w:szCs w:val="22"/>
        </w:rPr>
        <w:t xml:space="preserve">Safe </w:t>
      </w:r>
      <w:r w:rsidR="00347B1F" w:rsidRPr="00A953B4">
        <w:rPr>
          <w:sz w:val="22"/>
          <w:szCs w:val="22"/>
        </w:rPr>
        <w:t>in whole, without the consent of the Investor, in connection with a reincorporation to change the Company’s domicile.</w:t>
      </w:r>
    </w:p>
    <w:p w14:paraId="24906087" w14:textId="6D68CF82" w:rsidR="00E23215" w:rsidRDefault="00775FCF" w:rsidP="00F65BDB">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w:t>
      </w:r>
      <w:bookmarkStart w:id="9" w:name="_Hlk54086689"/>
      <w:r w:rsidR="00274CCE" w:rsidRPr="00274CCE">
        <w:rPr>
          <w:sz w:val="22"/>
          <w:szCs w:val="22"/>
        </w:rPr>
        <w:t xml:space="preserve">any state or local regulator, governmental body, or quasi-governmental body in any </w:t>
      </w:r>
      <w:r w:rsidR="000E7C7B">
        <w:rPr>
          <w:sz w:val="22"/>
          <w:szCs w:val="22"/>
        </w:rPr>
        <w:t>Licensing J</w:t>
      </w:r>
      <w:r w:rsidR="00274CCE" w:rsidRPr="00274CCE">
        <w:rPr>
          <w:sz w:val="22"/>
          <w:szCs w:val="22"/>
        </w:rPr>
        <w:t>urisdiction notifies a party that this agreement is not in compliance with any law and/or regulation or administrative guidance issued thereunder</w:t>
      </w:r>
      <w:r w:rsidR="00274CCE">
        <w:rPr>
          <w:sz w:val="22"/>
          <w:szCs w:val="22"/>
        </w:rPr>
        <w:t xml:space="preserve">, or </w:t>
      </w:r>
      <w:bookmarkEnd w:id="9"/>
      <w:r w:rsidR="001D7B14">
        <w:rPr>
          <w:sz w:val="22"/>
          <w:szCs w:val="22"/>
        </w:rPr>
        <w:t xml:space="preserve">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274CCE">
        <w:rPr>
          <w:sz w:val="22"/>
          <w:szCs w:val="22"/>
        </w:rPr>
        <w:t xml:space="preserve"> </w:t>
      </w:r>
      <w:bookmarkStart w:id="10" w:name="_Hlk54086701"/>
      <w:r w:rsidR="00274CCE">
        <w:rPr>
          <w:sz w:val="22"/>
          <w:szCs w:val="22"/>
        </w:rPr>
        <w:t xml:space="preserve">or </w:t>
      </w:r>
      <w:r w:rsidR="00017552">
        <w:rPr>
          <w:sz w:val="22"/>
          <w:szCs w:val="22"/>
        </w:rPr>
        <w:t xml:space="preserve">jeopardize </w:t>
      </w:r>
      <w:r w:rsidR="00274CCE">
        <w:rPr>
          <w:sz w:val="22"/>
          <w:szCs w:val="22"/>
        </w:rPr>
        <w:t>any license required for Company to conduct its Commercial Cannabis Activity</w:t>
      </w:r>
      <w:bookmarkEnd w:id="10"/>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14:paraId="51D3E2AC" w14:textId="2B9D232E" w:rsidR="00E23215" w:rsidRDefault="0024582E" w:rsidP="00F42C46">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w:t>
      </w:r>
      <w:r w:rsidR="00312881" w:rsidRPr="000A5C96">
        <w:rPr>
          <w:i/>
          <w:sz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bookmarkStart w:id="11" w:name="_Hlk54087005"/>
      <w:r w:rsidR="00625430">
        <w:rPr>
          <w:sz w:val="22"/>
          <w:szCs w:val="22"/>
        </w:rPr>
        <w:t>; provided, however, that if there is any conflict between the Cannabis Laws and the laws of [</w:t>
      </w:r>
      <w:r w:rsidR="00FF4AA9">
        <w:rPr>
          <w:sz w:val="22"/>
          <w:szCs w:val="22"/>
        </w:rPr>
        <w:t xml:space="preserve">NTD: </w:t>
      </w:r>
      <w:r w:rsidR="00FF4AA9" w:rsidRPr="000A5C96">
        <w:rPr>
          <w:i/>
          <w:iCs/>
          <w:sz w:val="22"/>
          <w:szCs w:val="22"/>
        </w:rPr>
        <w:t xml:space="preserve">Enter </w:t>
      </w:r>
      <w:r w:rsidR="00625430" w:rsidRPr="000A5C96">
        <w:rPr>
          <w:i/>
          <w:sz w:val="22"/>
        </w:rPr>
        <w:t xml:space="preserve">Governing </w:t>
      </w:r>
      <w:r w:rsidR="0015017D" w:rsidRPr="003E57AF">
        <w:rPr>
          <w:i/>
          <w:iCs/>
          <w:sz w:val="22"/>
          <w:szCs w:val="22"/>
        </w:rPr>
        <w:t>J</w:t>
      </w:r>
      <w:r w:rsidR="00625430" w:rsidRPr="003E57AF">
        <w:rPr>
          <w:i/>
          <w:iCs/>
          <w:sz w:val="22"/>
          <w:szCs w:val="22"/>
        </w:rPr>
        <w:t>urisdiction</w:t>
      </w:r>
      <w:r w:rsidR="00625430">
        <w:rPr>
          <w:sz w:val="22"/>
          <w:szCs w:val="22"/>
        </w:rPr>
        <w:t>] then the Cannabis Laws shall prevail</w:t>
      </w:r>
      <w:bookmarkEnd w:id="11"/>
      <w:r w:rsidR="001D7B14">
        <w:rPr>
          <w:sz w:val="22"/>
          <w:szCs w:val="22"/>
        </w:rPr>
        <w:t>.</w:t>
      </w:r>
    </w:p>
    <w:p w14:paraId="48ABD333" w14:textId="77777777" w:rsidR="00DE4C22" w:rsidRDefault="00DE4C22" w:rsidP="00DE4C22">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stock, and more particularly as common stock for purposes of 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02D228E4" w14:textId="77777777" w:rsidR="00E23215" w:rsidRDefault="001D7B14" w:rsidP="00F65BDB">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14:paraId="537772BE" w14:textId="77777777" w:rsidR="00E23215" w:rsidRDefault="00E23215">
      <w:pPr>
        <w:autoSpaceDE w:val="0"/>
        <w:autoSpaceDN w:val="0"/>
        <w:adjustRightInd w:val="0"/>
        <w:spacing w:before="0"/>
        <w:ind w:right="-360" w:firstLine="0"/>
        <w:rPr>
          <w:sz w:val="22"/>
          <w:szCs w:val="22"/>
        </w:rPr>
        <w:sectPr w:rsidR="00E23215" w:rsidSect="009008A9">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14:paraId="2879BA8B" w14:textId="77777777" w:rsidR="00F558A9" w:rsidRDefault="00F558A9" w:rsidP="00F558A9">
      <w:pPr>
        <w:autoSpaceDE w:val="0"/>
        <w:autoSpaceDN w:val="0"/>
        <w:adjustRightInd w:val="0"/>
        <w:spacing w:before="0"/>
        <w:ind w:firstLine="0"/>
        <w:rPr>
          <w:sz w:val="22"/>
          <w:szCs w:val="22"/>
        </w:rPr>
      </w:pPr>
      <w:r>
        <w:rPr>
          <w:sz w:val="22"/>
          <w:szCs w:val="22"/>
        </w:rPr>
        <w:t xml:space="preserve">IN WITNESS WHEREOF, the undersigned have caused this </w:t>
      </w:r>
      <w:r w:rsidR="00634259">
        <w:rPr>
          <w:sz w:val="22"/>
          <w:szCs w:val="22"/>
        </w:rPr>
        <w:t xml:space="preserve">Safe </w:t>
      </w:r>
      <w:r>
        <w:rPr>
          <w:sz w:val="22"/>
          <w:szCs w:val="22"/>
        </w:rPr>
        <w:t>to be duly executed and delivered.</w:t>
      </w:r>
    </w:p>
    <w:p w14:paraId="60F636F8" w14:textId="77777777" w:rsidR="00F558A9" w:rsidRDefault="00F558A9" w:rsidP="00F558A9">
      <w:pPr>
        <w:autoSpaceDE w:val="0"/>
        <w:autoSpaceDN w:val="0"/>
        <w:adjustRightInd w:val="0"/>
        <w:spacing w:before="0"/>
        <w:ind w:firstLine="0"/>
        <w:rPr>
          <w:sz w:val="22"/>
          <w:szCs w:val="22"/>
        </w:rPr>
      </w:pPr>
    </w:p>
    <w:p w14:paraId="60A7A514" w14:textId="77777777"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1A74DA11" w14:textId="77777777" w:rsidR="00312881" w:rsidRDefault="00312881" w:rsidP="00312881">
      <w:pPr>
        <w:autoSpaceDE w:val="0"/>
        <w:autoSpaceDN w:val="0"/>
        <w:adjustRightInd w:val="0"/>
        <w:spacing w:before="0"/>
        <w:ind w:left="5220" w:right="-360" w:firstLine="0"/>
        <w:rPr>
          <w:sz w:val="22"/>
          <w:szCs w:val="22"/>
        </w:rPr>
      </w:pPr>
    </w:p>
    <w:p w14:paraId="0FDE83F0" w14:textId="77777777"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845C8" w14:textId="77777777"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14:paraId="2F1A0151" w14:textId="77777777"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13B15D57" w14:textId="77777777"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14:paraId="16568F13"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BB95C9" w14:textId="77777777"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646DF73D" w14:textId="77777777"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14:paraId="69B2DA57" w14:textId="77777777"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0D6F2D20" w14:textId="77777777"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D22DF37" w14:textId="77777777"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3DDA42D5" w14:textId="77777777" w:rsidR="00312881" w:rsidRDefault="00312881" w:rsidP="00312881">
      <w:pPr>
        <w:pStyle w:val="SignatureLine2-col"/>
        <w:spacing w:before="0"/>
        <w:rPr>
          <w:sz w:val="22"/>
          <w:szCs w:val="22"/>
          <w:u w:val="single"/>
        </w:rPr>
      </w:pPr>
    </w:p>
    <w:p w14:paraId="7942B6F9" w14:textId="77777777"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14:paraId="0F72673F"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32EF87DF" w14:textId="77777777"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A3C4164" w14:textId="77777777" w:rsidR="00442117" w:rsidRPr="001F5E01" w:rsidRDefault="00442117" w:rsidP="00F558A9">
      <w:pPr>
        <w:autoSpaceDE w:val="0"/>
        <w:autoSpaceDN w:val="0"/>
        <w:adjustRightInd w:val="0"/>
        <w:spacing w:before="0"/>
        <w:ind w:right="-360" w:firstLine="0"/>
        <w:rPr>
          <w:sz w:val="22"/>
          <w:szCs w:val="22"/>
        </w:rPr>
      </w:pPr>
    </w:p>
    <w:sectPr w:rsidR="00442117" w:rsidRPr="001F5E01">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68E41" w14:textId="77777777" w:rsidR="00196A79" w:rsidRDefault="00196A79">
      <w:r>
        <w:separator/>
      </w:r>
    </w:p>
  </w:endnote>
  <w:endnote w:type="continuationSeparator" w:id="0">
    <w:p w14:paraId="408618C4" w14:textId="77777777" w:rsidR="00196A79" w:rsidRDefault="00196A79">
      <w:r>
        <w:continuationSeparator/>
      </w:r>
    </w:p>
  </w:endnote>
  <w:endnote w:type="continuationNotice" w:id="1">
    <w:p w14:paraId="50CD4E4B" w14:textId="77777777" w:rsidR="00196A79" w:rsidRDefault="00196A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15A3" w14:textId="77777777" w:rsidR="00871418" w:rsidRPr="00AE3FCD" w:rsidRDefault="00871418" w:rsidP="00ED2D67">
    <w:pPr>
      <w:pStyle w:val="Footer"/>
      <w:tabs>
        <w:tab w:val="clear" w:pos="9720"/>
      </w:tabs>
      <w:ind w:left="-720" w:right="-360"/>
      <w:jc w:val="center"/>
      <w:rPr>
        <w:sz w:val="22"/>
        <w:szCs w:val="22"/>
      </w:rPr>
    </w:pPr>
    <w:r w:rsidRPr="00AE3FCD">
      <w:rPr>
        <w:sz w:val="22"/>
        <w:szCs w:val="22"/>
      </w:rPr>
      <w:t>-</w:t>
    </w:r>
    <w:r w:rsidRPr="00AE3FCD">
      <w:rPr>
        <w:rStyle w:val="PageNumber"/>
        <w:sz w:val="22"/>
        <w:szCs w:val="22"/>
      </w:rPr>
      <w:fldChar w:fldCharType="begin"/>
    </w:r>
    <w:r w:rsidRPr="00AE3FCD">
      <w:rPr>
        <w:rStyle w:val="PageNumber"/>
        <w:sz w:val="22"/>
        <w:szCs w:val="22"/>
      </w:rPr>
      <w:instrText xml:space="preserve"> PAGE </w:instrText>
    </w:r>
    <w:r w:rsidRPr="00AE3FCD">
      <w:rPr>
        <w:rStyle w:val="PageNumber"/>
        <w:sz w:val="22"/>
        <w:szCs w:val="22"/>
      </w:rPr>
      <w:fldChar w:fldCharType="separate"/>
    </w:r>
    <w:r w:rsidR="00150AC1">
      <w:rPr>
        <w:rStyle w:val="PageNumber"/>
        <w:noProof/>
        <w:sz w:val="22"/>
        <w:szCs w:val="22"/>
      </w:rPr>
      <w:t>2</w:t>
    </w:r>
    <w:r w:rsidRPr="00AE3FCD">
      <w:rPr>
        <w:rStyle w:val="PageNumber"/>
        <w:sz w:val="22"/>
        <w:szCs w:val="22"/>
      </w:rPr>
      <w:fldChar w:fldCharType="end"/>
    </w:r>
    <w:r w:rsidRPr="00AE3FCD">
      <w:rPr>
        <w:rStyle w:val="PageNumbe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A443" w14:textId="27D7DAC2" w:rsidR="000807D1" w:rsidRPr="000807D1" w:rsidRDefault="000807D1" w:rsidP="00187FB3">
    <w:pPr>
      <w:shd w:val="clear" w:color="auto" w:fill="FFFFFF"/>
      <w:spacing w:before="0"/>
      <w:ind w:left="-720" w:right="-360" w:firstLine="0"/>
      <w:rPr>
        <w:color w:val="222222"/>
        <w:sz w:val="18"/>
        <w:szCs w:val="18"/>
      </w:rPr>
    </w:pPr>
    <w:r>
      <w:rPr>
        <w:color w:val="464646"/>
        <w:sz w:val="18"/>
        <w:szCs w:val="18"/>
      </w:rPr>
      <w:t>©</w:t>
    </w:r>
    <w:r w:rsidR="00150AC1">
      <w:rPr>
        <w:color w:val="464646"/>
        <w:sz w:val="18"/>
        <w:szCs w:val="18"/>
      </w:rPr>
      <w:t xml:space="preserve"> 2020</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6B58" w14:textId="77777777" w:rsidR="009008A9" w:rsidRPr="000807D1" w:rsidRDefault="009008A9" w:rsidP="009008A9">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CF02F" w14:textId="77777777" w:rsidR="00196A79" w:rsidRDefault="00196A79">
      <w:r>
        <w:separator/>
      </w:r>
    </w:p>
  </w:footnote>
  <w:footnote w:type="continuationSeparator" w:id="0">
    <w:p w14:paraId="25204C19" w14:textId="77777777" w:rsidR="00196A79" w:rsidRDefault="00196A79">
      <w:r>
        <w:continuationSeparator/>
      </w:r>
    </w:p>
  </w:footnote>
  <w:footnote w:type="continuationNotice" w:id="1">
    <w:p w14:paraId="155F6007" w14:textId="77777777" w:rsidR="00196A79" w:rsidRDefault="00196A79">
      <w:pPr>
        <w:spacing w:before="0"/>
      </w:pPr>
    </w:p>
  </w:footnote>
  <w:footnote w:id="2">
    <w:p w14:paraId="5FF0CDAF" w14:textId="0304B8FE" w:rsidR="00D10C07" w:rsidRPr="00D10C07" w:rsidRDefault="00D10C07">
      <w:pPr>
        <w:pStyle w:val="FootnoteText"/>
        <w:rPr>
          <w:sz w:val="20"/>
        </w:rPr>
      </w:pPr>
      <w:r w:rsidRPr="00D10C07">
        <w:rPr>
          <w:rStyle w:val="FootnoteReference"/>
          <w:sz w:val="20"/>
        </w:rPr>
        <w:footnoteRef/>
      </w:r>
      <w:r w:rsidRPr="00D10C07">
        <w:rPr>
          <w:sz w:val="20"/>
        </w:rPr>
        <w:t xml:space="preserve"> </w:t>
      </w:r>
      <w:r w:rsidR="007D6056">
        <w:rPr>
          <w:sz w:val="20"/>
        </w:rPr>
        <w:t>[</w:t>
      </w:r>
      <w:r w:rsidRPr="00D10C07">
        <w:rPr>
          <w:sz w:val="20"/>
          <w:highlight w:val="yellow"/>
        </w:rPr>
        <w:t>Delete This Note Before Using</w:t>
      </w:r>
      <w:r w:rsidRPr="00D10C07">
        <w:rPr>
          <w:sz w:val="20"/>
        </w:rPr>
        <w:t xml:space="preserve">] Cannabis Laws vary widely by state and municipality. This template focuses on the most common California requirements, but this template is not exhaustive. This template is only a starting place. Before a cannabis business negotiates term sheets or raises money, the business needs to verify state-and city-specific requirements for the deal and for investor qualifications / prohibitions. Many investors are unpleasantly surprised to learn the extent of disclosure requirements – e.g., driver’s license number, date of birth for even the smallest indirect investors – and socializing these requirements </w:t>
      </w:r>
      <w:r w:rsidRPr="00D10C07">
        <w:rPr>
          <w:i/>
          <w:iCs/>
          <w:sz w:val="20"/>
        </w:rPr>
        <w:t>before closing</w:t>
      </w:r>
      <w:r w:rsidRPr="00D10C07">
        <w:rPr>
          <w:sz w:val="20"/>
        </w:rPr>
        <w:t xml:space="preserve"> is critical.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9A5D" w14:textId="080EE22E" w:rsidR="001D6CA0" w:rsidRDefault="001D6CA0" w:rsidP="001D6CA0">
    <w:pPr>
      <w:autoSpaceDE w:val="0"/>
      <w:autoSpaceDN w:val="0"/>
      <w:adjustRightInd w:val="0"/>
      <w:spacing w:before="0"/>
      <w:ind w:left="-720" w:right="-360" w:firstLine="0"/>
      <w:jc w:val="right"/>
      <w:rPr>
        <w:b/>
        <w:sz w:val="22"/>
        <w:szCs w:val="22"/>
      </w:rPr>
    </w:pPr>
    <w:r>
      <w:rPr>
        <w:b/>
        <w:sz w:val="22"/>
        <w:szCs w:val="22"/>
      </w:rPr>
      <w:t>Version 1.</w:t>
    </w:r>
    <w:r w:rsidR="00825830">
      <w:rPr>
        <w:b/>
        <w:sz w:val="22"/>
        <w:szCs w:val="22"/>
      </w:rPr>
      <w:t>1</w:t>
    </w:r>
  </w:p>
  <w:p w14:paraId="20E5DF11" w14:textId="77777777" w:rsidR="001D6CA0" w:rsidRPr="00606C47" w:rsidRDefault="001D6CA0" w:rsidP="001D6CA0">
    <w:pPr>
      <w:autoSpaceDE w:val="0"/>
      <w:autoSpaceDN w:val="0"/>
      <w:adjustRightInd w:val="0"/>
      <w:spacing w:before="0"/>
      <w:ind w:left="-720" w:right="-360" w:firstLine="0"/>
      <w:jc w:val="center"/>
      <w:rPr>
        <w:b/>
        <w:sz w:val="22"/>
        <w:szCs w:val="22"/>
      </w:rPr>
    </w:pPr>
    <w:r>
      <w:rPr>
        <w:b/>
        <w:sz w:val="22"/>
        <w:szCs w:val="22"/>
      </w:rPr>
      <w:t>POST-MONEY VALUATION CAP</w:t>
    </w:r>
  </w:p>
  <w:p w14:paraId="2DAB5DA1" w14:textId="77777777" w:rsidR="004231F3" w:rsidRDefault="004231F3" w:rsidP="001D6C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C6E0" w14:textId="3E07B1F6" w:rsidR="000E2E71" w:rsidRDefault="000E2E71" w:rsidP="000E2E71">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Version 1.</w:t>
    </w:r>
    <w:r w:rsidR="00D608A4">
      <w:rPr>
        <w:b/>
        <w:sz w:val="22"/>
        <w:szCs w:val="22"/>
      </w:rPr>
      <w:t>1</w:t>
    </w:r>
  </w:p>
  <w:p w14:paraId="6E2B6400" w14:textId="77777777" w:rsidR="00606C47" w:rsidRPr="00606C47" w:rsidRDefault="00606C47" w:rsidP="00606C47">
    <w:pPr>
      <w:autoSpaceDE w:val="0"/>
      <w:autoSpaceDN w:val="0"/>
      <w:adjustRightInd w:val="0"/>
      <w:spacing w:before="0"/>
      <w:ind w:left="-720" w:right="-360" w:firstLine="0"/>
      <w:jc w:val="center"/>
      <w:rPr>
        <w:b/>
        <w:sz w:val="22"/>
        <w:szCs w:val="22"/>
      </w:rPr>
    </w:pPr>
    <w:r>
      <w:rPr>
        <w:b/>
        <w:sz w:val="22"/>
        <w:szCs w:val="22"/>
      </w:rPr>
      <w:t>POST-MONEY VALUATION CAP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24D5" w14:textId="77777777" w:rsidR="00871418" w:rsidRDefault="008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2E11"/>
    <w:rsid w:val="00005C41"/>
    <w:rsid w:val="000067B6"/>
    <w:rsid w:val="000150FD"/>
    <w:rsid w:val="00015A26"/>
    <w:rsid w:val="00015F2F"/>
    <w:rsid w:val="00016DEB"/>
    <w:rsid w:val="00017552"/>
    <w:rsid w:val="0002405E"/>
    <w:rsid w:val="00025118"/>
    <w:rsid w:val="00025227"/>
    <w:rsid w:val="00025CF1"/>
    <w:rsid w:val="00026B91"/>
    <w:rsid w:val="0002773F"/>
    <w:rsid w:val="00030E5D"/>
    <w:rsid w:val="00034A3D"/>
    <w:rsid w:val="00035998"/>
    <w:rsid w:val="000369F1"/>
    <w:rsid w:val="00037BCE"/>
    <w:rsid w:val="00040310"/>
    <w:rsid w:val="0004203A"/>
    <w:rsid w:val="00042B53"/>
    <w:rsid w:val="000525B0"/>
    <w:rsid w:val="00056260"/>
    <w:rsid w:val="0005670D"/>
    <w:rsid w:val="0006032F"/>
    <w:rsid w:val="000645DF"/>
    <w:rsid w:val="00064BC6"/>
    <w:rsid w:val="000673AF"/>
    <w:rsid w:val="00067F50"/>
    <w:rsid w:val="00070B9A"/>
    <w:rsid w:val="0007209F"/>
    <w:rsid w:val="000726CD"/>
    <w:rsid w:val="000807D1"/>
    <w:rsid w:val="000832E9"/>
    <w:rsid w:val="00084EFC"/>
    <w:rsid w:val="000852A4"/>
    <w:rsid w:val="000911F8"/>
    <w:rsid w:val="00091860"/>
    <w:rsid w:val="00092781"/>
    <w:rsid w:val="00092901"/>
    <w:rsid w:val="000965CD"/>
    <w:rsid w:val="00097D2D"/>
    <w:rsid w:val="000A2F69"/>
    <w:rsid w:val="000A42B6"/>
    <w:rsid w:val="000A49E2"/>
    <w:rsid w:val="000A50BA"/>
    <w:rsid w:val="000A5C96"/>
    <w:rsid w:val="000A6290"/>
    <w:rsid w:val="000A6C29"/>
    <w:rsid w:val="000A7801"/>
    <w:rsid w:val="000B0473"/>
    <w:rsid w:val="000B1A7F"/>
    <w:rsid w:val="000B6A09"/>
    <w:rsid w:val="000C3304"/>
    <w:rsid w:val="000C4F87"/>
    <w:rsid w:val="000C71F1"/>
    <w:rsid w:val="000D1E8B"/>
    <w:rsid w:val="000D52F3"/>
    <w:rsid w:val="000D6F63"/>
    <w:rsid w:val="000D7DF7"/>
    <w:rsid w:val="000E2DC7"/>
    <w:rsid w:val="000E2E71"/>
    <w:rsid w:val="000E5135"/>
    <w:rsid w:val="000E5455"/>
    <w:rsid w:val="000E7C7B"/>
    <w:rsid w:val="000F2B53"/>
    <w:rsid w:val="000F540C"/>
    <w:rsid w:val="00102A6B"/>
    <w:rsid w:val="0010692C"/>
    <w:rsid w:val="00114099"/>
    <w:rsid w:val="0011510A"/>
    <w:rsid w:val="0012064E"/>
    <w:rsid w:val="001239FA"/>
    <w:rsid w:val="00124977"/>
    <w:rsid w:val="00127757"/>
    <w:rsid w:val="0013041C"/>
    <w:rsid w:val="0013066C"/>
    <w:rsid w:val="001309B5"/>
    <w:rsid w:val="00130B02"/>
    <w:rsid w:val="00131DA0"/>
    <w:rsid w:val="00132B42"/>
    <w:rsid w:val="00133216"/>
    <w:rsid w:val="00133344"/>
    <w:rsid w:val="0013441C"/>
    <w:rsid w:val="001369FB"/>
    <w:rsid w:val="001376FC"/>
    <w:rsid w:val="00137D3A"/>
    <w:rsid w:val="00140626"/>
    <w:rsid w:val="00141B01"/>
    <w:rsid w:val="00142387"/>
    <w:rsid w:val="00142A88"/>
    <w:rsid w:val="00143227"/>
    <w:rsid w:val="0014368A"/>
    <w:rsid w:val="001458DE"/>
    <w:rsid w:val="0015017D"/>
    <w:rsid w:val="00150AC1"/>
    <w:rsid w:val="00151D62"/>
    <w:rsid w:val="00153748"/>
    <w:rsid w:val="00155C16"/>
    <w:rsid w:val="00157609"/>
    <w:rsid w:val="00157F8B"/>
    <w:rsid w:val="001634B5"/>
    <w:rsid w:val="001648B3"/>
    <w:rsid w:val="001649DE"/>
    <w:rsid w:val="00167E28"/>
    <w:rsid w:val="001719C5"/>
    <w:rsid w:val="00173695"/>
    <w:rsid w:val="00177673"/>
    <w:rsid w:val="0018100B"/>
    <w:rsid w:val="00181A55"/>
    <w:rsid w:val="001834E8"/>
    <w:rsid w:val="00187F6B"/>
    <w:rsid w:val="00187FB3"/>
    <w:rsid w:val="001909A8"/>
    <w:rsid w:val="001915B5"/>
    <w:rsid w:val="001922D6"/>
    <w:rsid w:val="00196A79"/>
    <w:rsid w:val="00196D16"/>
    <w:rsid w:val="001A7F23"/>
    <w:rsid w:val="001B0AFA"/>
    <w:rsid w:val="001B2399"/>
    <w:rsid w:val="001B25C5"/>
    <w:rsid w:val="001B29CC"/>
    <w:rsid w:val="001B56D0"/>
    <w:rsid w:val="001B7721"/>
    <w:rsid w:val="001C206A"/>
    <w:rsid w:val="001C2EE7"/>
    <w:rsid w:val="001C3A83"/>
    <w:rsid w:val="001C4481"/>
    <w:rsid w:val="001C4721"/>
    <w:rsid w:val="001C4D81"/>
    <w:rsid w:val="001C73AE"/>
    <w:rsid w:val="001D2B84"/>
    <w:rsid w:val="001D42F9"/>
    <w:rsid w:val="001D66E1"/>
    <w:rsid w:val="001D6CA0"/>
    <w:rsid w:val="001D7B14"/>
    <w:rsid w:val="001E1591"/>
    <w:rsid w:val="001E1691"/>
    <w:rsid w:val="001E345C"/>
    <w:rsid w:val="001E36BE"/>
    <w:rsid w:val="001E571A"/>
    <w:rsid w:val="001F013A"/>
    <w:rsid w:val="001F4D9C"/>
    <w:rsid w:val="001F5E01"/>
    <w:rsid w:val="001F6CA4"/>
    <w:rsid w:val="002009DA"/>
    <w:rsid w:val="002033E2"/>
    <w:rsid w:val="002045EB"/>
    <w:rsid w:val="0020486E"/>
    <w:rsid w:val="00211D36"/>
    <w:rsid w:val="002145D9"/>
    <w:rsid w:val="00220FF6"/>
    <w:rsid w:val="002218A7"/>
    <w:rsid w:val="00222438"/>
    <w:rsid w:val="00223D4D"/>
    <w:rsid w:val="0022483D"/>
    <w:rsid w:val="0022727B"/>
    <w:rsid w:val="0023048A"/>
    <w:rsid w:val="00231499"/>
    <w:rsid w:val="002327D9"/>
    <w:rsid w:val="00234445"/>
    <w:rsid w:val="00234B17"/>
    <w:rsid w:val="00234BC8"/>
    <w:rsid w:val="00235C55"/>
    <w:rsid w:val="00235EB2"/>
    <w:rsid w:val="002427F4"/>
    <w:rsid w:val="00243E1C"/>
    <w:rsid w:val="002450EE"/>
    <w:rsid w:val="0024582E"/>
    <w:rsid w:val="00246B08"/>
    <w:rsid w:val="00247BFD"/>
    <w:rsid w:val="00253AA3"/>
    <w:rsid w:val="00253FA8"/>
    <w:rsid w:val="002600BF"/>
    <w:rsid w:val="002618FD"/>
    <w:rsid w:val="00262C48"/>
    <w:rsid w:val="00264238"/>
    <w:rsid w:val="00264D96"/>
    <w:rsid w:val="00265D10"/>
    <w:rsid w:val="00270D09"/>
    <w:rsid w:val="00273383"/>
    <w:rsid w:val="00274CCE"/>
    <w:rsid w:val="0027541B"/>
    <w:rsid w:val="002758D1"/>
    <w:rsid w:val="00275B5C"/>
    <w:rsid w:val="00275B7A"/>
    <w:rsid w:val="00275C10"/>
    <w:rsid w:val="00277B5D"/>
    <w:rsid w:val="00281FE4"/>
    <w:rsid w:val="002821F7"/>
    <w:rsid w:val="00283605"/>
    <w:rsid w:val="002837EA"/>
    <w:rsid w:val="002873E6"/>
    <w:rsid w:val="002916FE"/>
    <w:rsid w:val="00296F4A"/>
    <w:rsid w:val="002A0BA4"/>
    <w:rsid w:val="002A41B8"/>
    <w:rsid w:val="002A5D1A"/>
    <w:rsid w:val="002B2722"/>
    <w:rsid w:val="002B4850"/>
    <w:rsid w:val="002B74F6"/>
    <w:rsid w:val="002C07F9"/>
    <w:rsid w:val="002C16BC"/>
    <w:rsid w:val="002C27C0"/>
    <w:rsid w:val="002C3307"/>
    <w:rsid w:val="002C3FB6"/>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1DCB"/>
    <w:rsid w:val="002F41E3"/>
    <w:rsid w:val="002F52D2"/>
    <w:rsid w:val="002F59DC"/>
    <w:rsid w:val="002F71FC"/>
    <w:rsid w:val="0030091A"/>
    <w:rsid w:val="00301708"/>
    <w:rsid w:val="00301C24"/>
    <w:rsid w:val="00304BD7"/>
    <w:rsid w:val="003052E6"/>
    <w:rsid w:val="003056CA"/>
    <w:rsid w:val="003059F0"/>
    <w:rsid w:val="003124A1"/>
    <w:rsid w:val="00312881"/>
    <w:rsid w:val="003140A3"/>
    <w:rsid w:val="003144AC"/>
    <w:rsid w:val="003146F2"/>
    <w:rsid w:val="00320861"/>
    <w:rsid w:val="0032188C"/>
    <w:rsid w:val="00321A34"/>
    <w:rsid w:val="0032745F"/>
    <w:rsid w:val="0033033B"/>
    <w:rsid w:val="00331EC1"/>
    <w:rsid w:val="00334F7B"/>
    <w:rsid w:val="003376F7"/>
    <w:rsid w:val="00337FE3"/>
    <w:rsid w:val="0034131E"/>
    <w:rsid w:val="003432BC"/>
    <w:rsid w:val="00343912"/>
    <w:rsid w:val="00345786"/>
    <w:rsid w:val="00347B1F"/>
    <w:rsid w:val="003515B2"/>
    <w:rsid w:val="00360F2C"/>
    <w:rsid w:val="00364F61"/>
    <w:rsid w:val="00367BDC"/>
    <w:rsid w:val="00367EEB"/>
    <w:rsid w:val="00370D73"/>
    <w:rsid w:val="0037284E"/>
    <w:rsid w:val="003737A9"/>
    <w:rsid w:val="00376906"/>
    <w:rsid w:val="0037739C"/>
    <w:rsid w:val="00377B5D"/>
    <w:rsid w:val="00380171"/>
    <w:rsid w:val="00380CE9"/>
    <w:rsid w:val="0038184B"/>
    <w:rsid w:val="00382CDB"/>
    <w:rsid w:val="003834B4"/>
    <w:rsid w:val="00384D51"/>
    <w:rsid w:val="003860B4"/>
    <w:rsid w:val="00386655"/>
    <w:rsid w:val="003924E0"/>
    <w:rsid w:val="00394E56"/>
    <w:rsid w:val="003966E4"/>
    <w:rsid w:val="00396C8C"/>
    <w:rsid w:val="00397377"/>
    <w:rsid w:val="003A04FF"/>
    <w:rsid w:val="003A19A3"/>
    <w:rsid w:val="003A37AA"/>
    <w:rsid w:val="003A513D"/>
    <w:rsid w:val="003B0797"/>
    <w:rsid w:val="003B4AEA"/>
    <w:rsid w:val="003C10F8"/>
    <w:rsid w:val="003C2B4D"/>
    <w:rsid w:val="003C326F"/>
    <w:rsid w:val="003C3573"/>
    <w:rsid w:val="003C3ACA"/>
    <w:rsid w:val="003C53F7"/>
    <w:rsid w:val="003C7D77"/>
    <w:rsid w:val="003D010D"/>
    <w:rsid w:val="003D15ED"/>
    <w:rsid w:val="003D1AE3"/>
    <w:rsid w:val="003D1BCA"/>
    <w:rsid w:val="003D5B2A"/>
    <w:rsid w:val="003E2340"/>
    <w:rsid w:val="003E245C"/>
    <w:rsid w:val="003E3F40"/>
    <w:rsid w:val="003E45C4"/>
    <w:rsid w:val="003E57AF"/>
    <w:rsid w:val="003E76ED"/>
    <w:rsid w:val="003F1633"/>
    <w:rsid w:val="003F2477"/>
    <w:rsid w:val="003F2D90"/>
    <w:rsid w:val="003F422B"/>
    <w:rsid w:val="003F5811"/>
    <w:rsid w:val="003F593D"/>
    <w:rsid w:val="003F5CA0"/>
    <w:rsid w:val="003F79B2"/>
    <w:rsid w:val="0040034A"/>
    <w:rsid w:val="00401B73"/>
    <w:rsid w:val="00402F00"/>
    <w:rsid w:val="00404D74"/>
    <w:rsid w:val="004061DC"/>
    <w:rsid w:val="00412847"/>
    <w:rsid w:val="004137CB"/>
    <w:rsid w:val="0041535D"/>
    <w:rsid w:val="00415474"/>
    <w:rsid w:val="0042232C"/>
    <w:rsid w:val="004227B6"/>
    <w:rsid w:val="00422905"/>
    <w:rsid w:val="0042297D"/>
    <w:rsid w:val="004231F3"/>
    <w:rsid w:val="00424E28"/>
    <w:rsid w:val="00430D18"/>
    <w:rsid w:val="0043111A"/>
    <w:rsid w:val="00431AB2"/>
    <w:rsid w:val="004356F1"/>
    <w:rsid w:val="00435C52"/>
    <w:rsid w:val="004360A1"/>
    <w:rsid w:val="00442117"/>
    <w:rsid w:val="00445BED"/>
    <w:rsid w:val="004505C0"/>
    <w:rsid w:val="004514BE"/>
    <w:rsid w:val="00451998"/>
    <w:rsid w:val="00452BF7"/>
    <w:rsid w:val="00454538"/>
    <w:rsid w:val="00457020"/>
    <w:rsid w:val="0045748A"/>
    <w:rsid w:val="0045791F"/>
    <w:rsid w:val="004579FB"/>
    <w:rsid w:val="004625DF"/>
    <w:rsid w:val="00464DFC"/>
    <w:rsid w:val="00465FB5"/>
    <w:rsid w:val="0046685F"/>
    <w:rsid w:val="00466AD4"/>
    <w:rsid w:val="0047068F"/>
    <w:rsid w:val="004719A9"/>
    <w:rsid w:val="004735FA"/>
    <w:rsid w:val="004770BC"/>
    <w:rsid w:val="00481E0D"/>
    <w:rsid w:val="004846A2"/>
    <w:rsid w:val="00485AA0"/>
    <w:rsid w:val="00487ABA"/>
    <w:rsid w:val="00490C3C"/>
    <w:rsid w:val="0049149B"/>
    <w:rsid w:val="00493AD9"/>
    <w:rsid w:val="00494800"/>
    <w:rsid w:val="004948D0"/>
    <w:rsid w:val="00494A3A"/>
    <w:rsid w:val="00494B06"/>
    <w:rsid w:val="00496041"/>
    <w:rsid w:val="00497898"/>
    <w:rsid w:val="004A302C"/>
    <w:rsid w:val="004A32E1"/>
    <w:rsid w:val="004A382F"/>
    <w:rsid w:val="004A3DF3"/>
    <w:rsid w:val="004A4507"/>
    <w:rsid w:val="004A4F45"/>
    <w:rsid w:val="004A5075"/>
    <w:rsid w:val="004A59CF"/>
    <w:rsid w:val="004A5D5E"/>
    <w:rsid w:val="004A6477"/>
    <w:rsid w:val="004B2C0C"/>
    <w:rsid w:val="004B3AED"/>
    <w:rsid w:val="004B504D"/>
    <w:rsid w:val="004B53E3"/>
    <w:rsid w:val="004B6D39"/>
    <w:rsid w:val="004C252A"/>
    <w:rsid w:val="004C38B7"/>
    <w:rsid w:val="004C45AF"/>
    <w:rsid w:val="004C5DA0"/>
    <w:rsid w:val="004D1C50"/>
    <w:rsid w:val="004D2810"/>
    <w:rsid w:val="004D3273"/>
    <w:rsid w:val="004D4D1E"/>
    <w:rsid w:val="004D6B8B"/>
    <w:rsid w:val="004E1858"/>
    <w:rsid w:val="004E40AD"/>
    <w:rsid w:val="004E422C"/>
    <w:rsid w:val="004E62DE"/>
    <w:rsid w:val="004E669A"/>
    <w:rsid w:val="004F0008"/>
    <w:rsid w:val="004F18DF"/>
    <w:rsid w:val="004F217B"/>
    <w:rsid w:val="004F631E"/>
    <w:rsid w:val="004F7EC9"/>
    <w:rsid w:val="00500825"/>
    <w:rsid w:val="005010F1"/>
    <w:rsid w:val="005011B2"/>
    <w:rsid w:val="005046A1"/>
    <w:rsid w:val="00504B4F"/>
    <w:rsid w:val="00505841"/>
    <w:rsid w:val="00512076"/>
    <w:rsid w:val="0051211E"/>
    <w:rsid w:val="005131BB"/>
    <w:rsid w:val="00515E86"/>
    <w:rsid w:val="005203D9"/>
    <w:rsid w:val="0052095D"/>
    <w:rsid w:val="00520C6C"/>
    <w:rsid w:val="00522EBA"/>
    <w:rsid w:val="00524404"/>
    <w:rsid w:val="00526A95"/>
    <w:rsid w:val="00527534"/>
    <w:rsid w:val="0053032A"/>
    <w:rsid w:val="00532799"/>
    <w:rsid w:val="005334B3"/>
    <w:rsid w:val="00534622"/>
    <w:rsid w:val="00536FBE"/>
    <w:rsid w:val="00537663"/>
    <w:rsid w:val="005377E9"/>
    <w:rsid w:val="0054000A"/>
    <w:rsid w:val="0054090C"/>
    <w:rsid w:val="0054283E"/>
    <w:rsid w:val="00543E23"/>
    <w:rsid w:val="00545EC3"/>
    <w:rsid w:val="00547859"/>
    <w:rsid w:val="00551522"/>
    <w:rsid w:val="00554BE4"/>
    <w:rsid w:val="005559EF"/>
    <w:rsid w:val="00556E8D"/>
    <w:rsid w:val="0055709A"/>
    <w:rsid w:val="005605C3"/>
    <w:rsid w:val="00563D6A"/>
    <w:rsid w:val="00571D09"/>
    <w:rsid w:val="00576CCC"/>
    <w:rsid w:val="0058148D"/>
    <w:rsid w:val="00584237"/>
    <w:rsid w:val="005871D8"/>
    <w:rsid w:val="00595327"/>
    <w:rsid w:val="00596DB7"/>
    <w:rsid w:val="005A241F"/>
    <w:rsid w:val="005A3B1E"/>
    <w:rsid w:val="005A768E"/>
    <w:rsid w:val="005A7B41"/>
    <w:rsid w:val="005B6D5D"/>
    <w:rsid w:val="005C259E"/>
    <w:rsid w:val="005C5CE5"/>
    <w:rsid w:val="005C6007"/>
    <w:rsid w:val="005C6652"/>
    <w:rsid w:val="005C782F"/>
    <w:rsid w:val="005D1EF4"/>
    <w:rsid w:val="005D45E4"/>
    <w:rsid w:val="005D4CBC"/>
    <w:rsid w:val="005E0BDD"/>
    <w:rsid w:val="005E1B14"/>
    <w:rsid w:val="005E1EC5"/>
    <w:rsid w:val="005E315A"/>
    <w:rsid w:val="005F04DB"/>
    <w:rsid w:val="005F0A92"/>
    <w:rsid w:val="005F20D6"/>
    <w:rsid w:val="005F2761"/>
    <w:rsid w:val="005F4497"/>
    <w:rsid w:val="005F7064"/>
    <w:rsid w:val="005F7720"/>
    <w:rsid w:val="00601E92"/>
    <w:rsid w:val="00603D7D"/>
    <w:rsid w:val="006065B3"/>
    <w:rsid w:val="00606C47"/>
    <w:rsid w:val="006104D3"/>
    <w:rsid w:val="00612BAB"/>
    <w:rsid w:val="00612E45"/>
    <w:rsid w:val="00614A65"/>
    <w:rsid w:val="006150FE"/>
    <w:rsid w:val="00616053"/>
    <w:rsid w:val="00617B47"/>
    <w:rsid w:val="006205EC"/>
    <w:rsid w:val="00622D88"/>
    <w:rsid w:val="00623E08"/>
    <w:rsid w:val="006241EF"/>
    <w:rsid w:val="0062426D"/>
    <w:rsid w:val="00625430"/>
    <w:rsid w:val="00627523"/>
    <w:rsid w:val="00633032"/>
    <w:rsid w:val="0063377A"/>
    <w:rsid w:val="00633884"/>
    <w:rsid w:val="00634259"/>
    <w:rsid w:val="00634D37"/>
    <w:rsid w:val="00635126"/>
    <w:rsid w:val="00637A58"/>
    <w:rsid w:val="0064012E"/>
    <w:rsid w:val="006420F0"/>
    <w:rsid w:val="00643A61"/>
    <w:rsid w:val="00646E1D"/>
    <w:rsid w:val="00646FBC"/>
    <w:rsid w:val="00647219"/>
    <w:rsid w:val="00647694"/>
    <w:rsid w:val="00652687"/>
    <w:rsid w:val="00654695"/>
    <w:rsid w:val="00654C4D"/>
    <w:rsid w:val="0065566D"/>
    <w:rsid w:val="006570CB"/>
    <w:rsid w:val="006611CB"/>
    <w:rsid w:val="006618DD"/>
    <w:rsid w:val="0066278D"/>
    <w:rsid w:val="00662F4B"/>
    <w:rsid w:val="006634CC"/>
    <w:rsid w:val="006635BB"/>
    <w:rsid w:val="00663999"/>
    <w:rsid w:val="0066674F"/>
    <w:rsid w:val="00666972"/>
    <w:rsid w:val="00667425"/>
    <w:rsid w:val="00670B09"/>
    <w:rsid w:val="00671B11"/>
    <w:rsid w:val="006727A9"/>
    <w:rsid w:val="00677465"/>
    <w:rsid w:val="00680545"/>
    <w:rsid w:val="006812D6"/>
    <w:rsid w:val="00683049"/>
    <w:rsid w:val="00685D71"/>
    <w:rsid w:val="006867E1"/>
    <w:rsid w:val="00690F5D"/>
    <w:rsid w:val="006926C7"/>
    <w:rsid w:val="006931E0"/>
    <w:rsid w:val="006A1D97"/>
    <w:rsid w:val="006A2768"/>
    <w:rsid w:val="006A2AAC"/>
    <w:rsid w:val="006A54D8"/>
    <w:rsid w:val="006A65C3"/>
    <w:rsid w:val="006A69A3"/>
    <w:rsid w:val="006B5EB1"/>
    <w:rsid w:val="006B7D0B"/>
    <w:rsid w:val="006C1F13"/>
    <w:rsid w:val="006C1FFA"/>
    <w:rsid w:val="006C2112"/>
    <w:rsid w:val="006C21F6"/>
    <w:rsid w:val="006C22B2"/>
    <w:rsid w:val="006C2D18"/>
    <w:rsid w:val="006C526F"/>
    <w:rsid w:val="006C7775"/>
    <w:rsid w:val="006D0FE7"/>
    <w:rsid w:val="006D123B"/>
    <w:rsid w:val="006D1CFB"/>
    <w:rsid w:val="006D2B05"/>
    <w:rsid w:val="006D30BF"/>
    <w:rsid w:val="006D315D"/>
    <w:rsid w:val="006E03BB"/>
    <w:rsid w:val="006E13C9"/>
    <w:rsid w:val="006E1E40"/>
    <w:rsid w:val="006E2469"/>
    <w:rsid w:val="006E4278"/>
    <w:rsid w:val="006E5A22"/>
    <w:rsid w:val="006E6E81"/>
    <w:rsid w:val="006E7408"/>
    <w:rsid w:val="006F0C27"/>
    <w:rsid w:val="006F37FE"/>
    <w:rsid w:val="006F4A1F"/>
    <w:rsid w:val="006F7489"/>
    <w:rsid w:val="006F78E0"/>
    <w:rsid w:val="006F7E4B"/>
    <w:rsid w:val="006F7F95"/>
    <w:rsid w:val="00700492"/>
    <w:rsid w:val="007010C4"/>
    <w:rsid w:val="00701E48"/>
    <w:rsid w:val="00704B1D"/>
    <w:rsid w:val="00704DF0"/>
    <w:rsid w:val="007050E2"/>
    <w:rsid w:val="00705507"/>
    <w:rsid w:val="00706FFC"/>
    <w:rsid w:val="00707259"/>
    <w:rsid w:val="0071041E"/>
    <w:rsid w:val="007107B6"/>
    <w:rsid w:val="00712588"/>
    <w:rsid w:val="00714395"/>
    <w:rsid w:val="00714C40"/>
    <w:rsid w:val="00714EF8"/>
    <w:rsid w:val="0071558A"/>
    <w:rsid w:val="00716AD2"/>
    <w:rsid w:val="00726CAE"/>
    <w:rsid w:val="00732ABB"/>
    <w:rsid w:val="00732B00"/>
    <w:rsid w:val="00734A96"/>
    <w:rsid w:val="0074081B"/>
    <w:rsid w:val="00740F44"/>
    <w:rsid w:val="0074294B"/>
    <w:rsid w:val="00742EEA"/>
    <w:rsid w:val="00745C4A"/>
    <w:rsid w:val="00745FCF"/>
    <w:rsid w:val="0075095E"/>
    <w:rsid w:val="00750B44"/>
    <w:rsid w:val="00750F25"/>
    <w:rsid w:val="00750FC3"/>
    <w:rsid w:val="0075197D"/>
    <w:rsid w:val="00752AF8"/>
    <w:rsid w:val="00752C3B"/>
    <w:rsid w:val="00754275"/>
    <w:rsid w:val="00755458"/>
    <w:rsid w:val="0076003F"/>
    <w:rsid w:val="00761860"/>
    <w:rsid w:val="00763C0E"/>
    <w:rsid w:val="00764B64"/>
    <w:rsid w:val="0076597B"/>
    <w:rsid w:val="007714FE"/>
    <w:rsid w:val="00774A89"/>
    <w:rsid w:val="007757C8"/>
    <w:rsid w:val="00775E23"/>
    <w:rsid w:val="00775FCF"/>
    <w:rsid w:val="00777571"/>
    <w:rsid w:val="0078111B"/>
    <w:rsid w:val="007813C9"/>
    <w:rsid w:val="00784669"/>
    <w:rsid w:val="00785568"/>
    <w:rsid w:val="007866A3"/>
    <w:rsid w:val="0078683A"/>
    <w:rsid w:val="007869D7"/>
    <w:rsid w:val="00791D7C"/>
    <w:rsid w:val="00792181"/>
    <w:rsid w:val="00792789"/>
    <w:rsid w:val="00792C4E"/>
    <w:rsid w:val="00792DE3"/>
    <w:rsid w:val="00792EC0"/>
    <w:rsid w:val="00792F03"/>
    <w:rsid w:val="0079399C"/>
    <w:rsid w:val="00794B0C"/>
    <w:rsid w:val="00795EE8"/>
    <w:rsid w:val="00796CBE"/>
    <w:rsid w:val="007A28BB"/>
    <w:rsid w:val="007A44CC"/>
    <w:rsid w:val="007A609D"/>
    <w:rsid w:val="007B1802"/>
    <w:rsid w:val="007B7D8A"/>
    <w:rsid w:val="007C01D8"/>
    <w:rsid w:val="007C1027"/>
    <w:rsid w:val="007C278C"/>
    <w:rsid w:val="007C29F3"/>
    <w:rsid w:val="007C4181"/>
    <w:rsid w:val="007C41E3"/>
    <w:rsid w:val="007C6958"/>
    <w:rsid w:val="007C7B47"/>
    <w:rsid w:val="007D1885"/>
    <w:rsid w:val="007D2CE1"/>
    <w:rsid w:val="007D6056"/>
    <w:rsid w:val="007E231A"/>
    <w:rsid w:val="007E2C2A"/>
    <w:rsid w:val="007E56EB"/>
    <w:rsid w:val="007E67A8"/>
    <w:rsid w:val="007E7F25"/>
    <w:rsid w:val="007F020F"/>
    <w:rsid w:val="007F573A"/>
    <w:rsid w:val="007F68EF"/>
    <w:rsid w:val="00801848"/>
    <w:rsid w:val="00801F81"/>
    <w:rsid w:val="00802F97"/>
    <w:rsid w:val="00805385"/>
    <w:rsid w:val="00805EED"/>
    <w:rsid w:val="008116C7"/>
    <w:rsid w:val="00811CAF"/>
    <w:rsid w:val="0081288C"/>
    <w:rsid w:val="00812C97"/>
    <w:rsid w:val="00814002"/>
    <w:rsid w:val="0081458A"/>
    <w:rsid w:val="00817577"/>
    <w:rsid w:val="0082254A"/>
    <w:rsid w:val="00825379"/>
    <w:rsid w:val="0082559C"/>
    <w:rsid w:val="00825830"/>
    <w:rsid w:val="00826CB4"/>
    <w:rsid w:val="00827193"/>
    <w:rsid w:val="00830210"/>
    <w:rsid w:val="00833E4F"/>
    <w:rsid w:val="00834475"/>
    <w:rsid w:val="008350FD"/>
    <w:rsid w:val="00836C01"/>
    <w:rsid w:val="00836CD1"/>
    <w:rsid w:val="00836CE2"/>
    <w:rsid w:val="008425C9"/>
    <w:rsid w:val="00843FC4"/>
    <w:rsid w:val="008453B7"/>
    <w:rsid w:val="00846D58"/>
    <w:rsid w:val="00850D12"/>
    <w:rsid w:val="00852431"/>
    <w:rsid w:val="00853933"/>
    <w:rsid w:val="00853C0F"/>
    <w:rsid w:val="0085725A"/>
    <w:rsid w:val="00860F08"/>
    <w:rsid w:val="00861B01"/>
    <w:rsid w:val="00862784"/>
    <w:rsid w:val="00870F43"/>
    <w:rsid w:val="00871418"/>
    <w:rsid w:val="00872027"/>
    <w:rsid w:val="0087229F"/>
    <w:rsid w:val="008736D2"/>
    <w:rsid w:val="00873CF1"/>
    <w:rsid w:val="00875AF0"/>
    <w:rsid w:val="00881327"/>
    <w:rsid w:val="00884334"/>
    <w:rsid w:val="00885214"/>
    <w:rsid w:val="00887237"/>
    <w:rsid w:val="00887470"/>
    <w:rsid w:val="00890FC3"/>
    <w:rsid w:val="00893DB4"/>
    <w:rsid w:val="00894870"/>
    <w:rsid w:val="00896DDC"/>
    <w:rsid w:val="00897EFB"/>
    <w:rsid w:val="008A08FE"/>
    <w:rsid w:val="008A0DC4"/>
    <w:rsid w:val="008A3D48"/>
    <w:rsid w:val="008A3FA1"/>
    <w:rsid w:val="008A6089"/>
    <w:rsid w:val="008A753F"/>
    <w:rsid w:val="008B0D4F"/>
    <w:rsid w:val="008B11F2"/>
    <w:rsid w:val="008B340B"/>
    <w:rsid w:val="008B51D2"/>
    <w:rsid w:val="008B6224"/>
    <w:rsid w:val="008B743B"/>
    <w:rsid w:val="008B787B"/>
    <w:rsid w:val="008C007E"/>
    <w:rsid w:val="008C0BF3"/>
    <w:rsid w:val="008C2626"/>
    <w:rsid w:val="008C4ED3"/>
    <w:rsid w:val="008C5EC3"/>
    <w:rsid w:val="008C6EC5"/>
    <w:rsid w:val="008D0CFD"/>
    <w:rsid w:val="008D0D42"/>
    <w:rsid w:val="008D0F36"/>
    <w:rsid w:val="008D1359"/>
    <w:rsid w:val="008D4BBC"/>
    <w:rsid w:val="008D5D22"/>
    <w:rsid w:val="008D5D87"/>
    <w:rsid w:val="008E3B83"/>
    <w:rsid w:val="008E5C7D"/>
    <w:rsid w:val="008E6FAC"/>
    <w:rsid w:val="008E7282"/>
    <w:rsid w:val="008F293C"/>
    <w:rsid w:val="008F2F8B"/>
    <w:rsid w:val="008F456A"/>
    <w:rsid w:val="008F4ABB"/>
    <w:rsid w:val="008F5004"/>
    <w:rsid w:val="008F7513"/>
    <w:rsid w:val="00900114"/>
    <w:rsid w:val="009004DC"/>
    <w:rsid w:val="009008A9"/>
    <w:rsid w:val="00901008"/>
    <w:rsid w:val="0090246D"/>
    <w:rsid w:val="009033DC"/>
    <w:rsid w:val="0090356B"/>
    <w:rsid w:val="00903886"/>
    <w:rsid w:val="009066E6"/>
    <w:rsid w:val="00910660"/>
    <w:rsid w:val="0091096B"/>
    <w:rsid w:val="00910C10"/>
    <w:rsid w:val="0091328A"/>
    <w:rsid w:val="009165F7"/>
    <w:rsid w:val="009204D6"/>
    <w:rsid w:val="009228CD"/>
    <w:rsid w:val="009228DD"/>
    <w:rsid w:val="00923FA7"/>
    <w:rsid w:val="00924F36"/>
    <w:rsid w:val="00926BE7"/>
    <w:rsid w:val="0093034E"/>
    <w:rsid w:val="00930B53"/>
    <w:rsid w:val="00930CF5"/>
    <w:rsid w:val="0093463E"/>
    <w:rsid w:val="00934B08"/>
    <w:rsid w:val="0093504D"/>
    <w:rsid w:val="0093653C"/>
    <w:rsid w:val="0094024D"/>
    <w:rsid w:val="0094346F"/>
    <w:rsid w:val="00944AE5"/>
    <w:rsid w:val="00945EAA"/>
    <w:rsid w:val="009479AA"/>
    <w:rsid w:val="0095407C"/>
    <w:rsid w:val="00957930"/>
    <w:rsid w:val="00961018"/>
    <w:rsid w:val="00963968"/>
    <w:rsid w:val="00964C0E"/>
    <w:rsid w:val="00965100"/>
    <w:rsid w:val="0096585B"/>
    <w:rsid w:val="00965DB6"/>
    <w:rsid w:val="00965EF4"/>
    <w:rsid w:val="00967E58"/>
    <w:rsid w:val="009705CE"/>
    <w:rsid w:val="00970F21"/>
    <w:rsid w:val="0097181A"/>
    <w:rsid w:val="00972668"/>
    <w:rsid w:val="009735E9"/>
    <w:rsid w:val="00973852"/>
    <w:rsid w:val="00975635"/>
    <w:rsid w:val="009815CF"/>
    <w:rsid w:val="00981B6D"/>
    <w:rsid w:val="00984041"/>
    <w:rsid w:val="0099159F"/>
    <w:rsid w:val="00996726"/>
    <w:rsid w:val="00997FE4"/>
    <w:rsid w:val="009A14B1"/>
    <w:rsid w:val="009A27B9"/>
    <w:rsid w:val="009A426E"/>
    <w:rsid w:val="009A4675"/>
    <w:rsid w:val="009A52B9"/>
    <w:rsid w:val="009A6939"/>
    <w:rsid w:val="009B205F"/>
    <w:rsid w:val="009B235F"/>
    <w:rsid w:val="009B257D"/>
    <w:rsid w:val="009B3021"/>
    <w:rsid w:val="009B3807"/>
    <w:rsid w:val="009B42EF"/>
    <w:rsid w:val="009B562E"/>
    <w:rsid w:val="009B6D7B"/>
    <w:rsid w:val="009C0ADE"/>
    <w:rsid w:val="009C102B"/>
    <w:rsid w:val="009C2B2F"/>
    <w:rsid w:val="009C5C6C"/>
    <w:rsid w:val="009C6376"/>
    <w:rsid w:val="009C659B"/>
    <w:rsid w:val="009D2480"/>
    <w:rsid w:val="009D2F02"/>
    <w:rsid w:val="009D4571"/>
    <w:rsid w:val="009D593D"/>
    <w:rsid w:val="009D6660"/>
    <w:rsid w:val="009E374D"/>
    <w:rsid w:val="009E5E98"/>
    <w:rsid w:val="009E65FE"/>
    <w:rsid w:val="009E6A72"/>
    <w:rsid w:val="009F1903"/>
    <w:rsid w:val="009F3AD4"/>
    <w:rsid w:val="009F5FE9"/>
    <w:rsid w:val="00A04F1C"/>
    <w:rsid w:val="00A0693A"/>
    <w:rsid w:val="00A111D5"/>
    <w:rsid w:val="00A11FD1"/>
    <w:rsid w:val="00A12700"/>
    <w:rsid w:val="00A139DC"/>
    <w:rsid w:val="00A15FAE"/>
    <w:rsid w:val="00A22DB6"/>
    <w:rsid w:val="00A23830"/>
    <w:rsid w:val="00A270F8"/>
    <w:rsid w:val="00A2745C"/>
    <w:rsid w:val="00A3582F"/>
    <w:rsid w:val="00A358E1"/>
    <w:rsid w:val="00A35B16"/>
    <w:rsid w:val="00A409C4"/>
    <w:rsid w:val="00A4309F"/>
    <w:rsid w:val="00A447CA"/>
    <w:rsid w:val="00A45E3F"/>
    <w:rsid w:val="00A46199"/>
    <w:rsid w:val="00A4630E"/>
    <w:rsid w:val="00A47D03"/>
    <w:rsid w:val="00A47D38"/>
    <w:rsid w:val="00A53459"/>
    <w:rsid w:val="00A53C2F"/>
    <w:rsid w:val="00A56513"/>
    <w:rsid w:val="00A6332D"/>
    <w:rsid w:val="00A67056"/>
    <w:rsid w:val="00A67933"/>
    <w:rsid w:val="00A708DD"/>
    <w:rsid w:val="00A71E86"/>
    <w:rsid w:val="00A7249F"/>
    <w:rsid w:val="00A73611"/>
    <w:rsid w:val="00A76257"/>
    <w:rsid w:val="00A77B79"/>
    <w:rsid w:val="00A816DF"/>
    <w:rsid w:val="00A828B2"/>
    <w:rsid w:val="00A82D4C"/>
    <w:rsid w:val="00A8341A"/>
    <w:rsid w:val="00A835BC"/>
    <w:rsid w:val="00A843B4"/>
    <w:rsid w:val="00A84568"/>
    <w:rsid w:val="00A9046E"/>
    <w:rsid w:val="00A907AE"/>
    <w:rsid w:val="00A90D28"/>
    <w:rsid w:val="00A92C56"/>
    <w:rsid w:val="00A953B4"/>
    <w:rsid w:val="00A96EE0"/>
    <w:rsid w:val="00AA01BC"/>
    <w:rsid w:val="00AA128F"/>
    <w:rsid w:val="00AA280C"/>
    <w:rsid w:val="00AA4086"/>
    <w:rsid w:val="00AA75A8"/>
    <w:rsid w:val="00AB1CCA"/>
    <w:rsid w:val="00AB1FD3"/>
    <w:rsid w:val="00AB2973"/>
    <w:rsid w:val="00AB3974"/>
    <w:rsid w:val="00AB7290"/>
    <w:rsid w:val="00AC511A"/>
    <w:rsid w:val="00AC6ABA"/>
    <w:rsid w:val="00AD0E9C"/>
    <w:rsid w:val="00AD1009"/>
    <w:rsid w:val="00AD1388"/>
    <w:rsid w:val="00AD1CAB"/>
    <w:rsid w:val="00AD277B"/>
    <w:rsid w:val="00AD34EF"/>
    <w:rsid w:val="00AD4B3B"/>
    <w:rsid w:val="00AE0C57"/>
    <w:rsid w:val="00AE20EC"/>
    <w:rsid w:val="00AE3E4E"/>
    <w:rsid w:val="00AE3FCD"/>
    <w:rsid w:val="00AE5884"/>
    <w:rsid w:val="00AE5C9C"/>
    <w:rsid w:val="00AE69DB"/>
    <w:rsid w:val="00AF0884"/>
    <w:rsid w:val="00AF106E"/>
    <w:rsid w:val="00AF1458"/>
    <w:rsid w:val="00AF4226"/>
    <w:rsid w:val="00B04016"/>
    <w:rsid w:val="00B04D5D"/>
    <w:rsid w:val="00B05C4A"/>
    <w:rsid w:val="00B05D8C"/>
    <w:rsid w:val="00B06641"/>
    <w:rsid w:val="00B06AD7"/>
    <w:rsid w:val="00B07371"/>
    <w:rsid w:val="00B0749F"/>
    <w:rsid w:val="00B07D76"/>
    <w:rsid w:val="00B10139"/>
    <w:rsid w:val="00B128EC"/>
    <w:rsid w:val="00B12A9E"/>
    <w:rsid w:val="00B12ADC"/>
    <w:rsid w:val="00B1343A"/>
    <w:rsid w:val="00B160B2"/>
    <w:rsid w:val="00B16C26"/>
    <w:rsid w:val="00B202EA"/>
    <w:rsid w:val="00B21938"/>
    <w:rsid w:val="00B3038C"/>
    <w:rsid w:val="00B33A57"/>
    <w:rsid w:val="00B3631B"/>
    <w:rsid w:val="00B37F9E"/>
    <w:rsid w:val="00B411C4"/>
    <w:rsid w:val="00B44F93"/>
    <w:rsid w:val="00B5064B"/>
    <w:rsid w:val="00B52715"/>
    <w:rsid w:val="00B5496F"/>
    <w:rsid w:val="00B550B7"/>
    <w:rsid w:val="00B55CEE"/>
    <w:rsid w:val="00B56646"/>
    <w:rsid w:val="00B56BBE"/>
    <w:rsid w:val="00B5791A"/>
    <w:rsid w:val="00B60E68"/>
    <w:rsid w:val="00B65A2A"/>
    <w:rsid w:val="00B6733A"/>
    <w:rsid w:val="00B70065"/>
    <w:rsid w:val="00B71405"/>
    <w:rsid w:val="00B72939"/>
    <w:rsid w:val="00B73658"/>
    <w:rsid w:val="00B73AC1"/>
    <w:rsid w:val="00B757DE"/>
    <w:rsid w:val="00B75CBC"/>
    <w:rsid w:val="00B75F14"/>
    <w:rsid w:val="00B7651F"/>
    <w:rsid w:val="00B80840"/>
    <w:rsid w:val="00B83F3C"/>
    <w:rsid w:val="00B857B5"/>
    <w:rsid w:val="00B86923"/>
    <w:rsid w:val="00B86D0B"/>
    <w:rsid w:val="00B8737D"/>
    <w:rsid w:val="00B94608"/>
    <w:rsid w:val="00BA004A"/>
    <w:rsid w:val="00BA00C0"/>
    <w:rsid w:val="00BA0FDD"/>
    <w:rsid w:val="00BA2680"/>
    <w:rsid w:val="00BA3F45"/>
    <w:rsid w:val="00BA48CA"/>
    <w:rsid w:val="00BB141F"/>
    <w:rsid w:val="00BB2F60"/>
    <w:rsid w:val="00BB666A"/>
    <w:rsid w:val="00BB685F"/>
    <w:rsid w:val="00BB6E3C"/>
    <w:rsid w:val="00BB7E14"/>
    <w:rsid w:val="00BC0846"/>
    <w:rsid w:val="00BC0A37"/>
    <w:rsid w:val="00BC246A"/>
    <w:rsid w:val="00BC2BC2"/>
    <w:rsid w:val="00BC4281"/>
    <w:rsid w:val="00BC6AC1"/>
    <w:rsid w:val="00BC76B0"/>
    <w:rsid w:val="00BD5BAC"/>
    <w:rsid w:val="00BD6357"/>
    <w:rsid w:val="00BD6FB1"/>
    <w:rsid w:val="00BE0576"/>
    <w:rsid w:val="00BE0632"/>
    <w:rsid w:val="00BE0BD0"/>
    <w:rsid w:val="00BE3964"/>
    <w:rsid w:val="00BE5455"/>
    <w:rsid w:val="00BE6955"/>
    <w:rsid w:val="00BE7250"/>
    <w:rsid w:val="00BF1D13"/>
    <w:rsid w:val="00BF28BB"/>
    <w:rsid w:val="00BF5253"/>
    <w:rsid w:val="00C002E9"/>
    <w:rsid w:val="00C018BB"/>
    <w:rsid w:val="00C02CC3"/>
    <w:rsid w:val="00C034BA"/>
    <w:rsid w:val="00C036DF"/>
    <w:rsid w:val="00C06593"/>
    <w:rsid w:val="00C06EDB"/>
    <w:rsid w:val="00C07A21"/>
    <w:rsid w:val="00C131AC"/>
    <w:rsid w:val="00C13224"/>
    <w:rsid w:val="00C147C2"/>
    <w:rsid w:val="00C147FD"/>
    <w:rsid w:val="00C16A76"/>
    <w:rsid w:val="00C17382"/>
    <w:rsid w:val="00C17DDE"/>
    <w:rsid w:val="00C22693"/>
    <w:rsid w:val="00C22AF7"/>
    <w:rsid w:val="00C305AD"/>
    <w:rsid w:val="00C319CE"/>
    <w:rsid w:val="00C31F84"/>
    <w:rsid w:val="00C31FA8"/>
    <w:rsid w:val="00C328A6"/>
    <w:rsid w:val="00C32AD8"/>
    <w:rsid w:val="00C32B61"/>
    <w:rsid w:val="00C32D72"/>
    <w:rsid w:val="00C3379D"/>
    <w:rsid w:val="00C343C2"/>
    <w:rsid w:val="00C36207"/>
    <w:rsid w:val="00C36300"/>
    <w:rsid w:val="00C41980"/>
    <w:rsid w:val="00C4780E"/>
    <w:rsid w:val="00C53054"/>
    <w:rsid w:val="00C5360B"/>
    <w:rsid w:val="00C539C9"/>
    <w:rsid w:val="00C54172"/>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907F7"/>
    <w:rsid w:val="00C90AFF"/>
    <w:rsid w:val="00C90E5E"/>
    <w:rsid w:val="00C942DD"/>
    <w:rsid w:val="00C9480A"/>
    <w:rsid w:val="00C949BF"/>
    <w:rsid w:val="00C96D36"/>
    <w:rsid w:val="00C97051"/>
    <w:rsid w:val="00CA18B1"/>
    <w:rsid w:val="00CA4C28"/>
    <w:rsid w:val="00CA6C2C"/>
    <w:rsid w:val="00CA6DA2"/>
    <w:rsid w:val="00CA70CF"/>
    <w:rsid w:val="00CB119A"/>
    <w:rsid w:val="00CB3710"/>
    <w:rsid w:val="00CB4ABA"/>
    <w:rsid w:val="00CB4F40"/>
    <w:rsid w:val="00CB5DD9"/>
    <w:rsid w:val="00CB648B"/>
    <w:rsid w:val="00CB6BC9"/>
    <w:rsid w:val="00CC04FA"/>
    <w:rsid w:val="00CC14A0"/>
    <w:rsid w:val="00CC1814"/>
    <w:rsid w:val="00CC3591"/>
    <w:rsid w:val="00CC41AA"/>
    <w:rsid w:val="00CC4B08"/>
    <w:rsid w:val="00CD2F46"/>
    <w:rsid w:val="00CD49AD"/>
    <w:rsid w:val="00CD602C"/>
    <w:rsid w:val="00CE0423"/>
    <w:rsid w:val="00CE0BD1"/>
    <w:rsid w:val="00CE14BF"/>
    <w:rsid w:val="00CE237F"/>
    <w:rsid w:val="00CE2BA7"/>
    <w:rsid w:val="00CE31BE"/>
    <w:rsid w:val="00CE39C1"/>
    <w:rsid w:val="00CE3F77"/>
    <w:rsid w:val="00CE5276"/>
    <w:rsid w:val="00CE7AFD"/>
    <w:rsid w:val="00CF09AD"/>
    <w:rsid w:val="00CF18AE"/>
    <w:rsid w:val="00CF414A"/>
    <w:rsid w:val="00CF4640"/>
    <w:rsid w:val="00CF5658"/>
    <w:rsid w:val="00CF56CF"/>
    <w:rsid w:val="00CF66F8"/>
    <w:rsid w:val="00CF68AD"/>
    <w:rsid w:val="00CF6A0A"/>
    <w:rsid w:val="00CF7533"/>
    <w:rsid w:val="00CF7B4A"/>
    <w:rsid w:val="00CF7BBD"/>
    <w:rsid w:val="00D00425"/>
    <w:rsid w:val="00D00922"/>
    <w:rsid w:val="00D011AA"/>
    <w:rsid w:val="00D01711"/>
    <w:rsid w:val="00D01F5C"/>
    <w:rsid w:val="00D0266C"/>
    <w:rsid w:val="00D03A1B"/>
    <w:rsid w:val="00D04F1E"/>
    <w:rsid w:val="00D05626"/>
    <w:rsid w:val="00D07E11"/>
    <w:rsid w:val="00D106A6"/>
    <w:rsid w:val="00D10C07"/>
    <w:rsid w:val="00D11445"/>
    <w:rsid w:val="00D12F6B"/>
    <w:rsid w:val="00D20E84"/>
    <w:rsid w:val="00D21D10"/>
    <w:rsid w:val="00D25B83"/>
    <w:rsid w:val="00D25E25"/>
    <w:rsid w:val="00D2656D"/>
    <w:rsid w:val="00D278B2"/>
    <w:rsid w:val="00D27F2B"/>
    <w:rsid w:val="00D3195E"/>
    <w:rsid w:val="00D32613"/>
    <w:rsid w:val="00D3281D"/>
    <w:rsid w:val="00D32A1D"/>
    <w:rsid w:val="00D32EF9"/>
    <w:rsid w:val="00D349C6"/>
    <w:rsid w:val="00D35451"/>
    <w:rsid w:val="00D355B9"/>
    <w:rsid w:val="00D42B41"/>
    <w:rsid w:val="00D431C4"/>
    <w:rsid w:val="00D46EB0"/>
    <w:rsid w:val="00D50D86"/>
    <w:rsid w:val="00D50E86"/>
    <w:rsid w:val="00D51DF0"/>
    <w:rsid w:val="00D5333F"/>
    <w:rsid w:val="00D53442"/>
    <w:rsid w:val="00D53AAC"/>
    <w:rsid w:val="00D54AA7"/>
    <w:rsid w:val="00D5541F"/>
    <w:rsid w:val="00D55FE7"/>
    <w:rsid w:val="00D5627D"/>
    <w:rsid w:val="00D56804"/>
    <w:rsid w:val="00D608A4"/>
    <w:rsid w:val="00D65E6B"/>
    <w:rsid w:val="00D66069"/>
    <w:rsid w:val="00D7105E"/>
    <w:rsid w:val="00D72E3F"/>
    <w:rsid w:val="00D733D6"/>
    <w:rsid w:val="00D742A3"/>
    <w:rsid w:val="00D7523F"/>
    <w:rsid w:val="00D75B62"/>
    <w:rsid w:val="00D82A2E"/>
    <w:rsid w:val="00D8394E"/>
    <w:rsid w:val="00D84744"/>
    <w:rsid w:val="00D85013"/>
    <w:rsid w:val="00D856AD"/>
    <w:rsid w:val="00DA04FC"/>
    <w:rsid w:val="00DA1BD1"/>
    <w:rsid w:val="00DA22DE"/>
    <w:rsid w:val="00DA3F55"/>
    <w:rsid w:val="00DA4B06"/>
    <w:rsid w:val="00DA5013"/>
    <w:rsid w:val="00DB0279"/>
    <w:rsid w:val="00DB20F6"/>
    <w:rsid w:val="00DB52AE"/>
    <w:rsid w:val="00DB5607"/>
    <w:rsid w:val="00DB59E0"/>
    <w:rsid w:val="00DC21DD"/>
    <w:rsid w:val="00DC3B71"/>
    <w:rsid w:val="00DC5B24"/>
    <w:rsid w:val="00DC60D2"/>
    <w:rsid w:val="00DC7C03"/>
    <w:rsid w:val="00DC7DC3"/>
    <w:rsid w:val="00DC7FE6"/>
    <w:rsid w:val="00DD0DEB"/>
    <w:rsid w:val="00DD14BC"/>
    <w:rsid w:val="00DD2BF6"/>
    <w:rsid w:val="00DD381D"/>
    <w:rsid w:val="00DD484E"/>
    <w:rsid w:val="00DD5F5D"/>
    <w:rsid w:val="00DD666E"/>
    <w:rsid w:val="00DE3106"/>
    <w:rsid w:val="00DE4C22"/>
    <w:rsid w:val="00DF2D29"/>
    <w:rsid w:val="00DF30BB"/>
    <w:rsid w:val="00DF580B"/>
    <w:rsid w:val="00DF5A99"/>
    <w:rsid w:val="00DF6E88"/>
    <w:rsid w:val="00DF7223"/>
    <w:rsid w:val="00E00688"/>
    <w:rsid w:val="00E01673"/>
    <w:rsid w:val="00E025D4"/>
    <w:rsid w:val="00E041BB"/>
    <w:rsid w:val="00E05C7D"/>
    <w:rsid w:val="00E06667"/>
    <w:rsid w:val="00E125A2"/>
    <w:rsid w:val="00E1595A"/>
    <w:rsid w:val="00E213CC"/>
    <w:rsid w:val="00E22607"/>
    <w:rsid w:val="00E22BAA"/>
    <w:rsid w:val="00E23215"/>
    <w:rsid w:val="00E23401"/>
    <w:rsid w:val="00E32668"/>
    <w:rsid w:val="00E3326C"/>
    <w:rsid w:val="00E33B7B"/>
    <w:rsid w:val="00E33D6F"/>
    <w:rsid w:val="00E4296F"/>
    <w:rsid w:val="00E50520"/>
    <w:rsid w:val="00E50D01"/>
    <w:rsid w:val="00E52C5E"/>
    <w:rsid w:val="00E5414A"/>
    <w:rsid w:val="00E55359"/>
    <w:rsid w:val="00E55378"/>
    <w:rsid w:val="00E55741"/>
    <w:rsid w:val="00E558AD"/>
    <w:rsid w:val="00E5598C"/>
    <w:rsid w:val="00E6220A"/>
    <w:rsid w:val="00E62C26"/>
    <w:rsid w:val="00E6485C"/>
    <w:rsid w:val="00E64DAE"/>
    <w:rsid w:val="00E66FE6"/>
    <w:rsid w:val="00E701F5"/>
    <w:rsid w:val="00E720D3"/>
    <w:rsid w:val="00E72B68"/>
    <w:rsid w:val="00E73113"/>
    <w:rsid w:val="00E753EC"/>
    <w:rsid w:val="00E75412"/>
    <w:rsid w:val="00E761D3"/>
    <w:rsid w:val="00E85D41"/>
    <w:rsid w:val="00E87068"/>
    <w:rsid w:val="00E870C9"/>
    <w:rsid w:val="00E906B4"/>
    <w:rsid w:val="00E9112D"/>
    <w:rsid w:val="00E92AA6"/>
    <w:rsid w:val="00E957D8"/>
    <w:rsid w:val="00EA0FCE"/>
    <w:rsid w:val="00EA73DF"/>
    <w:rsid w:val="00EB1C63"/>
    <w:rsid w:val="00EB1C84"/>
    <w:rsid w:val="00EB4577"/>
    <w:rsid w:val="00EB5CF3"/>
    <w:rsid w:val="00EB642C"/>
    <w:rsid w:val="00EC0F44"/>
    <w:rsid w:val="00EC1967"/>
    <w:rsid w:val="00EC2067"/>
    <w:rsid w:val="00EC5EDE"/>
    <w:rsid w:val="00EC7DB4"/>
    <w:rsid w:val="00ED2D67"/>
    <w:rsid w:val="00ED2ECA"/>
    <w:rsid w:val="00ED5756"/>
    <w:rsid w:val="00ED6213"/>
    <w:rsid w:val="00ED743A"/>
    <w:rsid w:val="00ED7CE4"/>
    <w:rsid w:val="00EE3DFE"/>
    <w:rsid w:val="00EE4089"/>
    <w:rsid w:val="00EE43CC"/>
    <w:rsid w:val="00EE6E6E"/>
    <w:rsid w:val="00EF0CC0"/>
    <w:rsid w:val="00EF3F06"/>
    <w:rsid w:val="00EF454E"/>
    <w:rsid w:val="00EF6DB4"/>
    <w:rsid w:val="00F01537"/>
    <w:rsid w:val="00F0569C"/>
    <w:rsid w:val="00F05750"/>
    <w:rsid w:val="00F141BD"/>
    <w:rsid w:val="00F15776"/>
    <w:rsid w:val="00F17D3C"/>
    <w:rsid w:val="00F20AEE"/>
    <w:rsid w:val="00F211B2"/>
    <w:rsid w:val="00F21D50"/>
    <w:rsid w:val="00F22D16"/>
    <w:rsid w:val="00F23ED6"/>
    <w:rsid w:val="00F2511C"/>
    <w:rsid w:val="00F26091"/>
    <w:rsid w:val="00F26381"/>
    <w:rsid w:val="00F26F00"/>
    <w:rsid w:val="00F2713E"/>
    <w:rsid w:val="00F30BCF"/>
    <w:rsid w:val="00F33D54"/>
    <w:rsid w:val="00F3453C"/>
    <w:rsid w:val="00F35765"/>
    <w:rsid w:val="00F369D0"/>
    <w:rsid w:val="00F36AEC"/>
    <w:rsid w:val="00F42C46"/>
    <w:rsid w:val="00F43A4F"/>
    <w:rsid w:val="00F44531"/>
    <w:rsid w:val="00F44E84"/>
    <w:rsid w:val="00F473F4"/>
    <w:rsid w:val="00F47FF2"/>
    <w:rsid w:val="00F51D06"/>
    <w:rsid w:val="00F528FE"/>
    <w:rsid w:val="00F534E7"/>
    <w:rsid w:val="00F558A9"/>
    <w:rsid w:val="00F60B77"/>
    <w:rsid w:val="00F65AA9"/>
    <w:rsid w:val="00F65BDB"/>
    <w:rsid w:val="00F65DC5"/>
    <w:rsid w:val="00F66B2B"/>
    <w:rsid w:val="00F672FF"/>
    <w:rsid w:val="00F707C0"/>
    <w:rsid w:val="00F71EEE"/>
    <w:rsid w:val="00F74C7B"/>
    <w:rsid w:val="00F769BD"/>
    <w:rsid w:val="00F777CC"/>
    <w:rsid w:val="00F805B4"/>
    <w:rsid w:val="00F80776"/>
    <w:rsid w:val="00F8611C"/>
    <w:rsid w:val="00F8747B"/>
    <w:rsid w:val="00F90801"/>
    <w:rsid w:val="00F917CB"/>
    <w:rsid w:val="00F91F5F"/>
    <w:rsid w:val="00F928C8"/>
    <w:rsid w:val="00F93C5A"/>
    <w:rsid w:val="00F93E0C"/>
    <w:rsid w:val="00F9558E"/>
    <w:rsid w:val="00F95D32"/>
    <w:rsid w:val="00FA1C90"/>
    <w:rsid w:val="00FA321E"/>
    <w:rsid w:val="00FA4248"/>
    <w:rsid w:val="00FA603C"/>
    <w:rsid w:val="00FA6A5B"/>
    <w:rsid w:val="00FA76CA"/>
    <w:rsid w:val="00FB3709"/>
    <w:rsid w:val="00FB625E"/>
    <w:rsid w:val="00FB6A30"/>
    <w:rsid w:val="00FB6BB5"/>
    <w:rsid w:val="00FB7082"/>
    <w:rsid w:val="00FC1CD3"/>
    <w:rsid w:val="00FC1E72"/>
    <w:rsid w:val="00FC21DC"/>
    <w:rsid w:val="00FC37F3"/>
    <w:rsid w:val="00FC4704"/>
    <w:rsid w:val="00FC6013"/>
    <w:rsid w:val="00FD172F"/>
    <w:rsid w:val="00FD398A"/>
    <w:rsid w:val="00FD3B4F"/>
    <w:rsid w:val="00FD4046"/>
    <w:rsid w:val="00FD5179"/>
    <w:rsid w:val="00FE40D4"/>
    <w:rsid w:val="00FE710B"/>
    <w:rsid w:val="00FE711E"/>
    <w:rsid w:val="00FE7A27"/>
    <w:rsid w:val="00FF4AA9"/>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FAD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FF5781"/>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6444-0543-7145-ADE3-8378DBE2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4112</Words>
  <Characters>23441</Characters>
  <Application>Microsoft Office Word</Application>
  <DocSecurity>0</DocSecurity>
  <Lines>195</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Investor understands and agrees that Regulatory Approval may require cer</vt:lpstr>
    </vt:vector>
  </TitlesOfParts>
  <Manager/>
  <Company/>
  <LinksUpToDate>false</LinksUpToDate>
  <CharactersWithSpaces>27499</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2020-11-02T16:59:00Z</dcterms:created>
  <dcterms:modified xsi:type="dcterms:W3CDTF">2020-11-02T16:59:00Z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