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E3" w:rsidRDefault="003C72E3" w:rsidP="007955DE">
      <w:pPr>
        <w:spacing w:line="240" w:lineRule="auto"/>
        <w:rPr>
          <w:rFonts w:cs="Arial"/>
          <w:bCs/>
          <w:sz w:val="24"/>
          <w:szCs w:val="24"/>
        </w:rPr>
      </w:pPr>
    </w:p>
    <w:p w:rsidR="003C72E3" w:rsidRDefault="003C72E3" w:rsidP="007955DE">
      <w:pPr>
        <w:spacing w:line="240" w:lineRule="auto"/>
        <w:rPr>
          <w:rFonts w:cs="Arial"/>
          <w:bCs/>
          <w:sz w:val="24"/>
          <w:szCs w:val="24"/>
        </w:rPr>
      </w:pPr>
    </w:p>
    <w:p w:rsidR="007955DE" w:rsidRPr="005131EB" w:rsidRDefault="007955DE" w:rsidP="007955DE">
      <w:pPr>
        <w:spacing w:line="240" w:lineRule="auto"/>
        <w:rPr>
          <w:rFonts w:cs="Arial"/>
          <w:sz w:val="24"/>
          <w:szCs w:val="24"/>
        </w:rPr>
      </w:pPr>
      <w:r w:rsidRPr="005131EB">
        <w:rPr>
          <w:rFonts w:cs="Arial"/>
          <w:bCs/>
          <w:sz w:val="24"/>
          <w:szCs w:val="24"/>
        </w:rPr>
        <w:t>The Keystone Peer Review Organization, Inc. (KePRO), headquartered in Harrisburg, Pennsylvania, is a privately held, for profit subsidiary of the Pennsylvania Medical Society. Founded in 1985, KePRO has evolved into a national integrated care management and quality improvement organization, offering innovative and outcomes-focused solutions to reduce the utilization of health care resources and optimize quality of care for public and private clients. We are URAC accredited in both utilization health management and case management.</w:t>
      </w:r>
    </w:p>
    <w:p w:rsidR="007955DE" w:rsidRPr="005131EB" w:rsidRDefault="007955DE" w:rsidP="007955DE">
      <w:pPr>
        <w:spacing w:line="240" w:lineRule="auto"/>
        <w:rPr>
          <w:rFonts w:cs="Arial"/>
          <w:b/>
          <w:bCs/>
          <w:sz w:val="24"/>
          <w:szCs w:val="24"/>
        </w:rPr>
      </w:pPr>
      <w:r w:rsidRPr="005131EB">
        <w:rPr>
          <w:rFonts w:cs="Arial"/>
          <w:bCs/>
          <w:sz w:val="24"/>
          <w:szCs w:val="24"/>
        </w:rPr>
        <w:t>Beginning in 1992, KePRO began providing services to the Medicaid market; we successfully administer contracts in Florida, Maryland, Virginia, and Tennessee. We provide Medicaid utilization management and medical appeals services for both fee-for-service and managed care enrollees</w:t>
      </w:r>
      <w:r w:rsidRPr="005131EB">
        <w:rPr>
          <w:rFonts w:cs="Arial"/>
          <w:b/>
          <w:bCs/>
          <w:sz w:val="24"/>
          <w:szCs w:val="24"/>
        </w:rPr>
        <w:t>.</w:t>
      </w:r>
    </w:p>
    <w:p w:rsidR="007955DE" w:rsidRPr="005131EB" w:rsidRDefault="007955DE" w:rsidP="007955DE">
      <w:pPr>
        <w:autoSpaceDE w:val="0"/>
        <w:autoSpaceDN w:val="0"/>
        <w:adjustRightInd w:val="0"/>
        <w:spacing w:after="0" w:line="240" w:lineRule="auto"/>
        <w:rPr>
          <w:rFonts w:cs="Arial"/>
          <w:color w:val="000000"/>
          <w:sz w:val="24"/>
          <w:szCs w:val="24"/>
        </w:rPr>
      </w:pPr>
      <w:r w:rsidRPr="005131EB">
        <w:rPr>
          <w:rFonts w:cs="Arial"/>
          <w:color w:val="000000"/>
          <w:sz w:val="24"/>
          <w:szCs w:val="24"/>
        </w:rPr>
        <w:t>KePRO contracts with the DMAS to implement a prior authorization program for</w:t>
      </w:r>
      <w:r w:rsidR="001E2A7F">
        <w:rPr>
          <w:rFonts w:cs="Arial"/>
          <w:color w:val="000000"/>
          <w:sz w:val="24"/>
          <w:szCs w:val="24"/>
        </w:rPr>
        <w:t xml:space="preserve"> Medicaid/ </w:t>
      </w:r>
      <w:r w:rsidRPr="005131EB">
        <w:rPr>
          <w:rFonts w:cs="Arial"/>
          <w:color w:val="000000"/>
          <w:sz w:val="24"/>
          <w:szCs w:val="24"/>
        </w:rPr>
        <w:t>FAMIS fee-for-service enrollees.  Under the provisions of federal regulations, the Medical Assistance Program must provide for continuing review and evaluation of care and services paid by Medicaid, including review of utilization of the services by providers and by enrollees.</w:t>
      </w:r>
    </w:p>
    <w:p w:rsidR="007955DE" w:rsidRPr="005131EB" w:rsidRDefault="007955DE" w:rsidP="007955DE">
      <w:pPr>
        <w:autoSpaceDE w:val="0"/>
        <w:autoSpaceDN w:val="0"/>
        <w:adjustRightInd w:val="0"/>
        <w:spacing w:after="0" w:line="240" w:lineRule="auto"/>
        <w:rPr>
          <w:rFonts w:cs="Arial"/>
          <w:color w:val="000000"/>
          <w:sz w:val="24"/>
          <w:szCs w:val="24"/>
        </w:rPr>
      </w:pPr>
    </w:p>
    <w:p w:rsidR="007955DE" w:rsidRDefault="007955DE" w:rsidP="005131EB">
      <w:pPr>
        <w:autoSpaceDE w:val="0"/>
        <w:autoSpaceDN w:val="0"/>
        <w:adjustRightInd w:val="0"/>
        <w:spacing w:after="0" w:line="240" w:lineRule="auto"/>
        <w:rPr>
          <w:rFonts w:cs="Arial"/>
          <w:color w:val="000000"/>
          <w:sz w:val="24"/>
          <w:szCs w:val="24"/>
        </w:rPr>
      </w:pPr>
      <w:r w:rsidRPr="005131EB">
        <w:rPr>
          <w:rFonts w:cs="Arial"/>
          <w:color w:val="000000"/>
          <w:sz w:val="24"/>
          <w:szCs w:val="24"/>
        </w:rPr>
        <w:t>Title 42 Code of Federal Regulations, Parts 455 and 456</w:t>
      </w:r>
      <w:r w:rsidR="005131EB" w:rsidRPr="005131EB">
        <w:rPr>
          <w:rFonts w:cs="Arial"/>
          <w:color w:val="000000"/>
          <w:sz w:val="24"/>
          <w:szCs w:val="24"/>
        </w:rPr>
        <w:t>,</w:t>
      </w:r>
      <w:r w:rsidRPr="005131EB">
        <w:rPr>
          <w:rFonts w:cs="Arial"/>
          <w:color w:val="000000"/>
          <w:sz w:val="24"/>
          <w:szCs w:val="24"/>
        </w:rPr>
        <w:t xml:space="preserve"> mandate</w:t>
      </w:r>
      <w:r w:rsidR="001E2A7F">
        <w:rPr>
          <w:rFonts w:cs="Arial"/>
          <w:color w:val="000000"/>
          <w:sz w:val="24"/>
          <w:szCs w:val="24"/>
        </w:rPr>
        <w:t>s</w:t>
      </w:r>
      <w:r w:rsidRPr="005131EB">
        <w:rPr>
          <w:rFonts w:cs="Arial"/>
          <w:color w:val="000000"/>
          <w:sz w:val="24"/>
          <w:szCs w:val="24"/>
        </w:rPr>
        <w:t xml:space="preserve"> these reviews.</w:t>
      </w:r>
      <w:r w:rsidR="005131EB" w:rsidRPr="005131EB">
        <w:rPr>
          <w:rFonts w:cs="Arial"/>
          <w:color w:val="000000"/>
          <w:sz w:val="24"/>
          <w:szCs w:val="24"/>
        </w:rPr>
        <w:t xml:space="preserve"> </w:t>
      </w:r>
      <w:r w:rsidRPr="005131EB">
        <w:rPr>
          <w:rFonts w:cs="Arial"/>
          <w:color w:val="000000"/>
          <w:sz w:val="24"/>
          <w:szCs w:val="24"/>
        </w:rPr>
        <w:t>Participating Medicaid providers are responsible for ensuring that prior authorization for</w:t>
      </w:r>
      <w:r w:rsidR="005131EB" w:rsidRPr="005131EB">
        <w:rPr>
          <w:rFonts w:cs="Arial"/>
          <w:color w:val="000000"/>
          <w:sz w:val="24"/>
          <w:szCs w:val="24"/>
        </w:rPr>
        <w:t xml:space="preserve"> </w:t>
      </w:r>
      <w:r w:rsidRPr="005131EB">
        <w:rPr>
          <w:rFonts w:cs="Arial"/>
          <w:color w:val="000000"/>
          <w:sz w:val="24"/>
          <w:szCs w:val="24"/>
        </w:rPr>
        <w:t>services rendered is requested according to applicable timeframes in order to receive</w:t>
      </w:r>
      <w:r w:rsidR="005131EB" w:rsidRPr="005131EB">
        <w:rPr>
          <w:rFonts w:cs="Arial"/>
          <w:color w:val="000000"/>
          <w:sz w:val="24"/>
          <w:szCs w:val="24"/>
        </w:rPr>
        <w:t xml:space="preserve"> </w:t>
      </w:r>
      <w:r w:rsidRPr="005131EB">
        <w:rPr>
          <w:rFonts w:cs="Arial"/>
          <w:color w:val="000000"/>
          <w:sz w:val="24"/>
          <w:szCs w:val="24"/>
        </w:rPr>
        <w:t>payment from DMAS. Under the Participation Agreement with DMAS, the provider also</w:t>
      </w:r>
      <w:r w:rsidR="005131EB" w:rsidRPr="005131EB">
        <w:rPr>
          <w:rFonts w:cs="Arial"/>
          <w:color w:val="000000"/>
          <w:sz w:val="24"/>
          <w:szCs w:val="24"/>
        </w:rPr>
        <w:t xml:space="preserve"> </w:t>
      </w:r>
      <w:r w:rsidRPr="005131EB">
        <w:rPr>
          <w:rFonts w:cs="Arial"/>
          <w:color w:val="000000"/>
          <w:sz w:val="24"/>
          <w:szCs w:val="24"/>
        </w:rPr>
        <w:t>agrees to give access to records and facilities to Virginia Medical Assistance Program</w:t>
      </w:r>
      <w:r w:rsidR="005131EB" w:rsidRPr="005131EB">
        <w:rPr>
          <w:rFonts w:cs="Arial"/>
          <w:color w:val="000000"/>
          <w:sz w:val="24"/>
          <w:szCs w:val="24"/>
        </w:rPr>
        <w:t xml:space="preserve"> </w:t>
      </w:r>
      <w:r w:rsidRPr="005131EB">
        <w:rPr>
          <w:rFonts w:cs="Arial"/>
          <w:color w:val="000000"/>
          <w:sz w:val="24"/>
          <w:szCs w:val="24"/>
        </w:rPr>
        <w:t>representatives (including KePRO), the Attorney General of Virginia or his authorized</w:t>
      </w:r>
      <w:r w:rsidR="005131EB" w:rsidRPr="005131EB">
        <w:rPr>
          <w:rFonts w:cs="Arial"/>
          <w:color w:val="000000"/>
          <w:sz w:val="24"/>
          <w:szCs w:val="24"/>
        </w:rPr>
        <w:t xml:space="preserve"> </w:t>
      </w:r>
      <w:r w:rsidRPr="005131EB">
        <w:rPr>
          <w:rFonts w:cs="Arial"/>
          <w:color w:val="000000"/>
          <w:sz w:val="24"/>
          <w:szCs w:val="24"/>
        </w:rPr>
        <w:t>representatives, and authorized federal personnel upon reasonable request. Refer to</w:t>
      </w:r>
      <w:r w:rsidR="005131EB">
        <w:rPr>
          <w:rFonts w:cs="Arial"/>
          <w:color w:val="000000"/>
          <w:sz w:val="24"/>
          <w:szCs w:val="24"/>
        </w:rPr>
        <w:t xml:space="preserve"> </w:t>
      </w:r>
      <w:hyperlink r:id="rId6" w:history="1">
        <w:r w:rsidRPr="000618D9">
          <w:rPr>
            <w:rStyle w:val="Hyperlink"/>
            <w:rFonts w:cs="Arial"/>
            <w:color w:val="0000FF"/>
            <w:sz w:val="24"/>
            <w:szCs w:val="24"/>
          </w:rPr>
          <w:t>www.dmas.virginia.gov</w:t>
        </w:r>
      </w:hyperlink>
      <w:r w:rsidRPr="005131EB">
        <w:rPr>
          <w:rFonts w:cs="Arial"/>
          <w:color w:val="0000FF"/>
          <w:sz w:val="24"/>
          <w:szCs w:val="24"/>
        </w:rPr>
        <w:t xml:space="preserve">, </w:t>
      </w:r>
      <w:r w:rsidRPr="005131EB">
        <w:rPr>
          <w:rFonts w:cs="Arial"/>
          <w:color w:val="000000"/>
          <w:sz w:val="24"/>
          <w:szCs w:val="24"/>
        </w:rPr>
        <w:t>to access DMAS’s provider manuals.</w:t>
      </w:r>
    </w:p>
    <w:p w:rsidR="005131EB" w:rsidRPr="005131EB" w:rsidRDefault="005131EB" w:rsidP="005131EB">
      <w:pPr>
        <w:autoSpaceDE w:val="0"/>
        <w:autoSpaceDN w:val="0"/>
        <w:adjustRightInd w:val="0"/>
        <w:spacing w:after="0" w:line="240" w:lineRule="auto"/>
        <w:rPr>
          <w:rFonts w:cs="Arial"/>
          <w:color w:val="000000"/>
          <w:sz w:val="24"/>
          <w:szCs w:val="24"/>
        </w:rPr>
      </w:pPr>
    </w:p>
    <w:p w:rsidR="007955DE" w:rsidRPr="005131EB" w:rsidRDefault="007955DE" w:rsidP="007955DE">
      <w:pPr>
        <w:autoSpaceDE w:val="0"/>
        <w:autoSpaceDN w:val="0"/>
        <w:adjustRightInd w:val="0"/>
        <w:spacing w:after="0" w:line="240" w:lineRule="auto"/>
        <w:rPr>
          <w:rFonts w:cs="Arial,BoldItalic"/>
          <w:b/>
          <w:bCs/>
          <w:iCs/>
          <w:color w:val="0F243E" w:themeColor="text2" w:themeShade="80"/>
          <w:sz w:val="24"/>
          <w:szCs w:val="24"/>
        </w:rPr>
      </w:pPr>
      <w:r w:rsidRPr="005131EB">
        <w:rPr>
          <w:rFonts w:cs="Arial,BoldItalic"/>
          <w:b/>
          <w:bCs/>
          <w:iCs/>
          <w:color w:val="0F243E" w:themeColor="text2" w:themeShade="80"/>
          <w:sz w:val="24"/>
          <w:szCs w:val="24"/>
        </w:rPr>
        <w:t>Confidentiality and HIPAA</w:t>
      </w:r>
    </w:p>
    <w:p w:rsidR="007955DE" w:rsidRPr="005131EB" w:rsidRDefault="007955DE" w:rsidP="007955DE">
      <w:pPr>
        <w:autoSpaceDE w:val="0"/>
        <w:autoSpaceDN w:val="0"/>
        <w:adjustRightInd w:val="0"/>
        <w:spacing w:after="0" w:line="240" w:lineRule="auto"/>
        <w:rPr>
          <w:rFonts w:cs="Arial"/>
          <w:sz w:val="24"/>
          <w:szCs w:val="24"/>
        </w:rPr>
      </w:pPr>
      <w:r w:rsidRPr="005131EB">
        <w:rPr>
          <w:rFonts w:cs="Arial"/>
          <w:sz w:val="24"/>
          <w:szCs w:val="24"/>
        </w:rPr>
        <w:t>KePRO is subject to the confidentiality regulations in 42 CFR 476 – Shared Health Data</w:t>
      </w:r>
    </w:p>
    <w:p w:rsidR="007955DE" w:rsidRPr="005131EB" w:rsidRDefault="007955DE" w:rsidP="007955DE">
      <w:pPr>
        <w:autoSpaceDE w:val="0"/>
        <w:autoSpaceDN w:val="0"/>
        <w:adjustRightInd w:val="0"/>
        <w:spacing w:after="0" w:line="240" w:lineRule="auto"/>
        <w:rPr>
          <w:rFonts w:cs="Arial"/>
          <w:sz w:val="24"/>
          <w:szCs w:val="24"/>
        </w:rPr>
      </w:pPr>
      <w:r w:rsidRPr="005131EB">
        <w:rPr>
          <w:rFonts w:cs="Arial"/>
          <w:sz w:val="24"/>
          <w:szCs w:val="24"/>
        </w:rPr>
        <w:t xml:space="preserve">Systems, 42 CFR 480 – Acquisition, Protection, and Disclosure of Peer Review Information, Part B of Title XI of the Social Security Act, Omnibus Reconciliation Act of 1990, Health Insurance Portability and Accountability Act of 1996 (HIPAA), Alcohol, Drug Abuse and Mental Health Administration Reorganization Act 42U.S.C Section 290dd-2, Freedom of Information Act U.S.C.522, The Privacy Act 5 U.S.C. Section 522a and other State regulations and laws as applicable and program issuances and instructions. </w:t>
      </w:r>
    </w:p>
    <w:p w:rsidR="007955DE" w:rsidRPr="005131EB" w:rsidRDefault="007955DE"/>
    <w:p w:rsidR="002A528D" w:rsidRPr="005131EB" w:rsidRDefault="002A528D" w:rsidP="00F92BB7">
      <w:pPr>
        <w:autoSpaceDE w:val="0"/>
        <w:autoSpaceDN w:val="0"/>
        <w:adjustRightInd w:val="0"/>
        <w:spacing w:after="0" w:line="240" w:lineRule="auto"/>
        <w:rPr>
          <w:rFonts w:cs="Arial"/>
        </w:rPr>
      </w:pPr>
    </w:p>
    <w:sectPr w:rsidR="002A528D" w:rsidRPr="005131EB" w:rsidSect="00D27E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F60" w:rsidRDefault="00403F60" w:rsidP="00F92BB7">
      <w:pPr>
        <w:spacing w:after="0" w:line="240" w:lineRule="auto"/>
      </w:pPr>
      <w:r>
        <w:separator/>
      </w:r>
    </w:p>
  </w:endnote>
  <w:endnote w:type="continuationSeparator" w:id="1">
    <w:p w:rsidR="00403F60" w:rsidRDefault="00403F60" w:rsidP="00F92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DE" w:rsidRDefault="003C6FDE">
    <w:pPr>
      <w:pStyle w:val="Footer"/>
      <w:jc w:val="right"/>
    </w:pPr>
  </w:p>
  <w:tbl>
    <w:tblPr>
      <w:tblStyle w:val="TableGrid"/>
      <w:tblW w:w="0" w:type="auto"/>
      <w:tblBorders>
        <w:top w:val="single" w:sz="12" w:space="0" w:color="4F6228" w:themeColor="accent3" w:themeShade="80"/>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C6FDE" w:rsidRPr="003C6FDE" w:rsidTr="003C6FDE">
      <w:tc>
        <w:tcPr>
          <w:tcW w:w="4788" w:type="dxa"/>
        </w:tcPr>
        <w:p w:rsidR="003C6FDE" w:rsidRPr="003C6FDE" w:rsidRDefault="003C6FDE" w:rsidP="00F92BB7">
          <w:pPr>
            <w:pStyle w:val="Footer"/>
            <w:rPr>
              <w:i/>
              <w:sz w:val="18"/>
              <w:szCs w:val="18"/>
            </w:rPr>
          </w:pPr>
          <w:r w:rsidRPr="003C6FDE">
            <w:rPr>
              <w:i/>
              <w:sz w:val="18"/>
              <w:szCs w:val="18"/>
            </w:rPr>
            <w:t>Fact Sheet, 4-09</w:t>
          </w:r>
        </w:p>
      </w:tc>
      <w:tc>
        <w:tcPr>
          <w:tcW w:w="4788" w:type="dxa"/>
        </w:tcPr>
        <w:sdt>
          <w:sdtPr>
            <w:rPr>
              <w:i/>
              <w:sz w:val="18"/>
              <w:szCs w:val="18"/>
            </w:rPr>
            <w:id w:val="565050523"/>
            <w:docPartObj>
              <w:docPartGallery w:val="Page Numbers (Top of Page)"/>
              <w:docPartUnique/>
            </w:docPartObj>
          </w:sdtPr>
          <w:sdtContent>
            <w:p w:rsidR="003C6FDE" w:rsidRPr="003C6FDE" w:rsidRDefault="003C6FDE" w:rsidP="003C6FDE">
              <w:pPr>
                <w:pStyle w:val="Footer"/>
                <w:jc w:val="right"/>
                <w:rPr>
                  <w:i/>
                  <w:sz w:val="18"/>
                  <w:szCs w:val="18"/>
                </w:rPr>
              </w:pPr>
              <w:r w:rsidRPr="003C6FDE">
                <w:rPr>
                  <w:i/>
                  <w:sz w:val="18"/>
                  <w:szCs w:val="18"/>
                </w:rPr>
                <w:t xml:space="preserve">Page </w:t>
              </w:r>
              <w:r w:rsidR="009F3A7D" w:rsidRPr="003C6FDE">
                <w:rPr>
                  <w:i/>
                  <w:sz w:val="18"/>
                  <w:szCs w:val="18"/>
                </w:rPr>
                <w:fldChar w:fldCharType="begin"/>
              </w:r>
              <w:r w:rsidRPr="003C6FDE">
                <w:rPr>
                  <w:i/>
                  <w:sz w:val="18"/>
                  <w:szCs w:val="18"/>
                </w:rPr>
                <w:instrText xml:space="preserve"> PAGE </w:instrText>
              </w:r>
              <w:r w:rsidR="009F3A7D" w:rsidRPr="003C6FDE">
                <w:rPr>
                  <w:i/>
                  <w:sz w:val="18"/>
                  <w:szCs w:val="18"/>
                </w:rPr>
                <w:fldChar w:fldCharType="separate"/>
              </w:r>
              <w:r w:rsidR="00B72211">
                <w:rPr>
                  <w:i/>
                  <w:noProof/>
                  <w:sz w:val="18"/>
                  <w:szCs w:val="18"/>
                </w:rPr>
                <w:t>1</w:t>
              </w:r>
              <w:r w:rsidR="009F3A7D" w:rsidRPr="003C6FDE">
                <w:rPr>
                  <w:i/>
                  <w:sz w:val="18"/>
                  <w:szCs w:val="18"/>
                </w:rPr>
                <w:fldChar w:fldCharType="end"/>
              </w:r>
              <w:r w:rsidRPr="003C6FDE">
                <w:rPr>
                  <w:i/>
                  <w:sz w:val="18"/>
                  <w:szCs w:val="18"/>
                </w:rPr>
                <w:t xml:space="preserve"> of </w:t>
              </w:r>
              <w:r w:rsidR="009F3A7D" w:rsidRPr="003C6FDE">
                <w:rPr>
                  <w:i/>
                  <w:sz w:val="18"/>
                  <w:szCs w:val="18"/>
                </w:rPr>
                <w:fldChar w:fldCharType="begin"/>
              </w:r>
              <w:r w:rsidRPr="003C6FDE">
                <w:rPr>
                  <w:i/>
                  <w:sz w:val="18"/>
                  <w:szCs w:val="18"/>
                </w:rPr>
                <w:instrText xml:space="preserve"> NUMPAGES  </w:instrText>
              </w:r>
              <w:r w:rsidR="009F3A7D" w:rsidRPr="003C6FDE">
                <w:rPr>
                  <w:i/>
                  <w:sz w:val="18"/>
                  <w:szCs w:val="18"/>
                </w:rPr>
                <w:fldChar w:fldCharType="separate"/>
              </w:r>
              <w:r w:rsidR="00B72211">
                <w:rPr>
                  <w:i/>
                  <w:noProof/>
                  <w:sz w:val="18"/>
                  <w:szCs w:val="18"/>
                </w:rPr>
                <w:t>1</w:t>
              </w:r>
              <w:r w:rsidR="009F3A7D" w:rsidRPr="003C6FDE">
                <w:rPr>
                  <w:i/>
                  <w:sz w:val="18"/>
                  <w:szCs w:val="18"/>
                </w:rPr>
                <w:fldChar w:fldCharType="end"/>
              </w:r>
            </w:p>
          </w:sdtContent>
        </w:sdt>
        <w:p w:rsidR="003C6FDE" w:rsidRPr="003C6FDE" w:rsidRDefault="003C6FDE" w:rsidP="003C6FDE">
          <w:pPr>
            <w:pStyle w:val="Footer"/>
            <w:jc w:val="right"/>
            <w:rPr>
              <w:i/>
              <w:sz w:val="18"/>
              <w:szCs w:val="18"/>
            </w:rPr>
          </w:pPr>
        </w:p>
      </w:tc>
    </w:tr>
  </w:tbl>
  <w:p w:rsidR="00F92BB7" w:rsidRPr="00F92BB7" w:rsidRDefault="00F92BB7" w:rsidP="00F92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F60" w:rsidRDefault="00403F60" w:rsidP="00F92BB7">
      <w:pPr>
        <w:spacing w:after="0" w:line="240" w:lineRule="auto"/>
      </w:pPr>
      <w:r>
        <w:separator/>
      </w:r>
    </w:p>
  </w:footnote>
  <w:footnote w:type="continuationSeparator" w:id="1">
    <w:p w:rsidR="00403F60" w:rsidRDefault="00403F60" w:rsidP="00F92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608"/>
    </w:tblGrid>
    <w:tr w:rsidR="00F92BB7" w:rsidTr="002A1EDE">
      <w:tc>
        <w:tcPr>
          <w:tcW w:w="4968" w:type="dxa"/>
        </w:tcPr>
        <w:p w:rsidR="00F92BB7" w:rsidRDefault="00F92BB7">
          <w:pPr>
            <w:pStyle w:val="Header"/>
          </w:pPr>
          <w:r>
            <w:rPr>
              <w:noProof/>
            </w:rPr>
            <w:drawing>
              <wp:inline distT="0" distB="0" distL="0" distR="0">
                <wp:extent cx="2219325" cy="738228"/>
                <wp:effectExtent l="19050" t="0" r="0" b="0"/>
                <wp:docPr id="1" name="Picture 0" descr="KePRO 4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RO 4 Color.png"/>
                        <pic:cNvPicPr/>
                      </pic:nvPicPr>
                      <pic:blipFill>
                        <a:blip r:embed="rId1"/>
                        <a:stretch>
                          <a:fillRect/>
                        </a:stretch>
                      </pic:blipFill>
                      <pic:spPr>
                        <a:xfrm>
                          <a:off x="0" y="0"/>
                          <a:ext cx="2218561" cy="737974"/>
                        </a:xfrm>
                        <a:prstGeom prst="rect">
                          <a:avLst/>
                        </a:prstGeom>
                      </pic:spPr>
                    </pic:pic>
                  </a:graphicData>
                </a:graphic>
              </wp:inline>
            </w:drawing>
          </w:r>
        </w:p>
      </w:tc>
      <w:tc>
        <w:tcPr>
          <w:tcW w:w="4608" w:type="dxa"/>
          <w:vAlign w:val="center"/>
        </w:tcPr>
        <w:p w:rsidR="00F92BB7" w:rsidRPr="002A1EDE" w:rsidRDefault="002A1EDE" w:rsidP="002A1EDE">
          <w:pPr>
            <w:pStyle w:val="Header"/>
            <w:jc w:val="center"/>
            <w:rPr>
              <w:color w:val="244061" w:themeColor="accent1" w:themeShade="80"/>
              <w:sz w:val="56"/>
              <w:szCs w:val="56"/>
            </w:rPr>
          </w:pPr>
          <w:r w:rsidRPr="002A1EDE">
            <w:rPr>
              <w:rFonts w:cs="Arial"/>
              <w:b/>
              <w:color w:val="244061" w:themeColor="accent1" w:themeShade="80"/>
              <w:sz w:val="56"/>
              <w:szCs w:val="56"/>
            </w:rPr>
            <w:t>Fact Sheet</w:t>
          </w:r>
        </w:p>
      </w:tc>
    </w:tr>
  </w:tbl>
  <w:p w:rsidR="00F92BB7" w:rsidRDefault="00F92B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A528D"/>
    <w:rsid w:val="00022D39"/>
    <w:rsid w:val="00045453"/>
    <w:rsid w:val="0005260A"/>
    <w:rsid w:val="000618D9"/>
    <w:rsid w:val="00091D96"/>
    <w:rsid w:val="001E2A7F"/>
    <w:rsid w:val="002A1EDE"/>
    <w:rsid w:val="002A528D"/>
    <w:rsid w:val="0033790A"/>
    <w:rsid w:val="0038318B"/>
    <w:rsid w:val="003C6FDE"/>
    <w:rsid w:val="003C72E3"/>
    <w:rsid w:val="00403F60"/>
    <w:rsid w:val="00446363"/>
    <w:rsid w:val="005131EB"/>
    <w:rsid w:val="00544964"/>
    <w:rsid w:val="0059660E"/>
    <w:rsid w:val="00656816"/>
    <w:rsid w:val="00740817"/>
    <w:rsid w:val="007955DE"/>
    <w:rsid w:val="008707F8"/>
    <w:rsid w:val="009F3A7D"/>
    <w:rsid w:val="00B72211"/>
    <w:rsid w:val="00BA04F7"/>
    <w:rsid w:val="00BD6DA8"/>
    <w:rsid w:val="00D27E21"/>
    <w:rsid w:val="00D63703"/>
    <w:rsid w:val="00F92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28D"/>
    <w:rPr>
      <w:color w:val="0000FF" w:themeColor="hyperlink"/>
      <w:u w:val="single"/>
    </w:rPr>
  </w:style>
  <w:style w:type="table" w:styleId="TableGrid">
    <w:name w:val="Table Grid"/>
    <w:basedOn w:val="TableNormal"/>
    <w:uiPriority w:val="59"/>
    <w:rsid w:val="002A5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2B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BB7"/>
  </w:style>
  <w:style w:type="paragraph" w:styleId="Footer">
    <w:name w:val="footer"/>
    <w:basedOn w:val="Normal"/>
    <w:link w:val="FooterChar"/>
    <w:uiPriority w:val="99"/>
    <w:unhideWhenUsed/>
    <w:rsid w:val="00F92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BB7"/>
  </w:style>
  <w:style w:type="paragraph" w:styleId="BalloonText">
    <w:name w:val="Balloon Text"/>
    <w:basedOn w:val="Normal"/>
    <w:link w:val="BalloonTextChar"/>
    <w:uiPriority w:val="99"/>
    <w:semiHidden/>
    <w:unhideWhenUsed/>
    <w:rsid w:val="00F9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B7"/>
    <w:rPr>
      <w:rFonts w:ascii="Tahoma" w:hAnsi="Tahoma" w:cs="Tahoma"/>
      <w:sz w:val="16"/>
      <w:szCs w:val="16"/>
    </w:rPr>
  </w:style>
  <w:style w:type="table" w:styleId="LightShading-Accent3">
    <w:name w:val="Light Shading Accent 3"/>
    <w:basedOn w:val="TableNormal"/>
    <w:uiPriority w:val="60"/>
    <w:rsid w:val="00F92B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1710455515">
      <w:bodyDiv w:val="1"/>
      <w:marLeft w:val="0"/>
      <w:marRight w:val="0"/>
      <w:marTop w:val="0"/>
      <w:marBottom w:val="0"/>
      <w:divBdr>
        <w:top w:val="none" w:sz="0" w:space="0" w:color="auto"/>
        <w:left w:val="none" w:sz="0" w:space="0" w:color="auto"/>
        <w:bottom w:val="none" w:sz="0" w:space="0" w:color="auto"/>
        <w:right w:val="none" w:sz="0" w:space="0" w:color="auto"/>
      </w:divBdr>
    </w:div>
    <w:div w:id="20881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Ricdom001\Documents2\rblankenship\My%20Documents\www.dmas.virginia.gov%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KePRO</dc:title>
  <dc:subject/>
  <dc:creator>rblankenship</dc:creator>
  <cp:keywords/>
  <dc:description/>
  <cp:lastModifiedBy>abicanich</cp:lastModifiedBy>
  <cp:revision>2</cp:revision>
  <dcterms:created xsi:type="dcterms:W3CDTF">2009-04-05T21:22:00Z</dcterms:created>
  <dcterms:modified xsi:type="dcterms:W3CDTF">2009-04-05T21:22:00Z</dcterms:modified>
  <cp:category/>
</cp:coreProperties>
</file>