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0B" w:rsidRPr="0016720B" w:rsidRDefault="0016720B" w:rsidP="0016720B">
      <w:pPr>
        <w:autoSpaceDE w:val="0"/>
        <w:autoSpaceDN w:val="0"/>
        <w:jc w:val="center"/>
        <w:rPr>
          <w:rFonts w:ascii="Arial" w:hAnsi="Arial" w:cs="Arial"/>
          <w:b/>
          <w:sz w:val="23"/>
          <w:szCs w:val="23"/>
        </w:rPr>
      </w:pPr>
    </w:p>
    <w:p w:rsidR="0016720B" w:rsidRPr="0016720B" w:rsidRDefault="0016720B" w:rsidP="0016720B">
      <w:pPr>
        <w:autoSpaceDE w:val="0"/>
        <w:autoSpaceDN w:val="0"/>
        <w:jc w:val="center"/>
        <w:rPr>
          <w:rFonts w:ascii="Arial" w:hAnsi="Arial" w:cs="Arial"/>
          <w:sz w:val="23"/>
          <w:szCs w:val="23"/>
        </w:rPr>
      </w:pPr>
      <w:r w:rsidRPr="0016720B">
        <w:rPr>
          <w:rFonts w:ascii="Arial" w:hAnsi="Arial" w:cs="Arial"/>
          <w:sz w:val="23"/>
          <w:szCs w:val="23"/>
        </w:rPr>
        <w:t xml:space="preserve">Notification of a Procedural Change for Out of State Providers Submitting Requests for Service Authorization through </w:t>
      </w:r>
      <w:proofErr w:type="spellStart"/>
      <w:r w:rsidRPr="0016720B">
        <w:rPr>
          <w:rFonts w:ascii="Arial" w:hAnsi="Arial" w:cs="Arial"/>
          <w:sz w:val="23"/>
          <w:szCs w:val="23"/>
        </w:rPr>
        <w:t>KePRO</w:t>
      </w:r>
      <w:proofErr w:type="spellEnd"/>
      <w:r w:rsidRPr="0016720B">
        <w:rPr>
          <w:rFonts w:ascii="Arial" w:hAnsi="Arial" w:cs="Arial"/>
          <w:sz w:val="23"/>
          <w:szCs w:val="23"/>
        </w:rPr>
        <w:t xml:space="preserve"> </w:t>
      </w:r>
    </w:p>
    <w:p w:rsidR="0016720B" w:rsidRPr="0016720B" w:rsidRDefault="0016720B" w:rsidP="0016720B">
      <w:pPr>
        <w:jc w:val="center"/>
        <w:rPr>
          <w:rFonts w:ascii="Arial" w:hAnsi="Arial" w:cs="Arial"/>
        </w:rPr>
      </w:pPr>
      <w:r w:rsidRPr="0016720B">
        <w:rPr>
          <w:rFonts w:ascii="Arial" w:hAnsi="Arial" w:cs="Arial"/>
        </w:rPr>
        <w:t>Questions and Answers</w:t>
      </w:r>
    </w:p>
    <w:p w:rsidR="0016720B" w:rsidRDefault="0016720B" w:rsidP="0016720B">
      <w:pPr>
        <w:rPr>
          <w:rFonts w:ascii="Arial" w:hAnsi="Arial" w:cs="Arial"/>
        </w:rPr>
      </w:pPr>
    </w:p>
    <w:p w:rsidR="0016720B" w:rsidRDefault="0016720B" w:rsidP="0016720B">
      <w:pPr>
        <w:rPr>
          <w:rFonts w:ascii="Arial" w:hAnsi="Arial" w:cs="Arial"/>
        </w:rPr>
      </w:pPr>
    </w:p>
    <w:tbl>
      <w:tblPr>
        <w:tblpPr w:leftFromText="180" w:rightFromText="180" w:vertAnchor="text"/>
        <w:tblW w:w="0" w:type="auto"/>
        <w:tblCellMar>
          <w:left w:w="0" w:type="dxa"/>
          <w:right w:w="0" w:type="dxa"/>
        </w:tblCellMar>
        <w:tblLook w:val="04A0"/>
      </w:tblPr>
      <w:tblGrid>
        <w:gridCol w:w="632"/>
        <w:gridCol w:w="3635"/>
        <w:gridCol w:w="8909"/>
      </w:tblGrid>
      <w:tr w:rsidR="0016720B" w:rsidTr="00C24F97">
        <w:tc>
          <w:tcPr>
            <w:tcW w:w="632" w:type="dxa"/>
            <w:tcBorders>
              <w:top w:val="single" w:sz="8" w:space="0" w:color="auto"/>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rsidR="0016720B" w:rsidRDefault="0016720B">
            <w:pPr>
              <w:jc w:val="center"/>
              <w:rPr>
                <w:rFonts w:ascii="Arial" w:hAnsi="Arial" w:cs="Arial"/>
              </w:rPr>
            </w:pPr>
            <w:r>
              <w:rPr>
                <w:rFonts w:ascii="Arial" w:hAnsi="Arial" w:cs="Arial"/>
              </w:rPr>
              <w:t>#</w:t>
            </w:r>
          </w:p>
        </w:tc>
        <w:tc>
          <w:tcPr>
            <w:tcW w:w="3635"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16720B" w:rsidRDefault="0016720B">
            <w:pPr>
              <w:rPr>
                <w:rFonts w:ascii="Arial" w:hAnsi="Arial" w:cs="Arial"/>
              </w:rPr>
            </w:pPr>
            <w:r>
              <w:rPr>
                <w:rFonts w:ascii="Arial" w:hAnsi="Arial" w:cs="Arial"/>
              </w:rPr>
              <w:t>Question</w:t>
            </w:r>
          </w:p>
        </w:tc>
        <w:tc>
          <w:tcPr>
            <w:tcW w:w="8909"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16720B" w:rsidRDefault="0016720B">
            <w:pPr>
              <w:rPr>
                <w:rFonts w:ascii="Arial" w:hAnsi="Arial" w:cs="Arial"/>
              </w:rPr>
            </w:pPr>
            <w:r>
              <w:rPr>
                <w:rFonts w:ascii="Arial" w:hAnsi="Arial" w:cs="Arial"/>
              </w:rPr>
              <w:t>DMAS Response</w:t>
            </w:r>
          </w:p>
        </w:tc>
      </w:tr>
      <w:tr w:rsidR="0016720B" w:rsidTr="00C24F97">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20B" w:rsidRDefault="0016720B">
            <w:pPr>
              <w:jc w:val="center"/>
              <w:rPr>
                <w:rFonts w:ascii="Arial" w:hAnsi="Arial" w:cs="Arial"/>
              </w:rPr>
            </w:pPr>
            <w:r>
              <w:rPr>
                <w:rFonts w:ascii="Arial" w:hAnsi="Arial" w:cs="Arial"/>
              </w:rPr>
              <w:t>1.</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16720B" w:rsidRDefault="0016720B">
            <w:pPr>
              <w:rPr>
                <w:rFonts w:ascii="Arial" w:hAnsi="Arial" w:cs="Arial"/>
              </w:rPr>
            </w:pPr>
            <w:r>
              <w:rPr>
                <w:rFonts w:ascii="Arial" w:hAnsi="Arial" w:cs="Arial"/>
              </w:rPr>
              <w:t>Where is the DMAS Memo for the Out-of-State Provider requirement located?</w:t>
            </w:r>
          </w:p>
        </w:tc>
        <w:tc>
          <w:tcPr>
            <w:tcW w:w="8909" w:type="dxa"/>
            <w:tcBorders>
              <w:top w:val="nil"/>
              <w:left w:val="nil"/>
              <w:bottom w:val="single" w:sz="8" w:space="0" w:color="auto"/>
              <w:right w:val="single" w:sz="8" w:space="0" w:color="auto"/>
            </w:tcBorders>
            <w:tcMar>
              <w:top w:w="0" w:type="dxa"/>
              <w:left w:w="108" w:type="dxa"/>
              <w:bottom w:w="0" w:type="dxa"/>
              <w:right w:w="108" w:type="dxa"/>
            </w:tcMar>
          </w:tcPr>
          <w:p w:rsidR="0016720B" w:rsidRDefault="003C4E93">
            <w:pPr>
              <w:rPr>
                <w:rFonts w:ascii="Arial" w:hAnsi="Arial" w:cs="Arial"/>
              </w:rPr>
            </w:pPr>
            <w:hyperlink r:id="rId4" w:history="1">
              <w:r w:rsidR="0016720B">
                <w:rPr>
                  <w:rStyle w:val="Hyperlink"/>
                  <w:rFonts w:ascii="Arial" w:hAnsi="Arial" w:cs="Arial"/>
                </w:rPr>
                <w:t>https://www.virginiamedicaid.dmas.virginia.gov/wps/myportal/MedicaidMemostoProviders</w:t>
              </w:r>
            </w:hyperlink>
          </w:p>
          <w:p w:rsidR="0016720B" w:rsidRDefault="0016720B">
            <w:pPr>
              <w:rPr>
                <w:rFonts w:ascii="Arial" w:hAnsi="Arial" w:cs="Arial"/>
              </w:rPr>
            </w:pPr>
            <w:r>
              <w:rPr>
                <w:rFonts w:ascii="Arial" w:hAnsi="Arial" w:cs="Arial"/>
              </w:rPr>
              <w:t>Memo Dated Feb. 6, 2013.</w:t>
            </w:r>
          </w:p>
          <w:p w:rsidR="0016720B" w:rsidRDefault="0016720B">
            <w:pPr>
              <w:rPr>
                <w:rFonts w:ascii="Arial" w:hAnsi="Arial" w:cs="Arial"/>
              </w:rPr>
            </w:pPr>
          </w:p>
        </w:tc>
      </w:tr>
      <w:tr w:rsidR="0016720B" w:rsidTr="00C24F97">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20B" w:rsidRDefault="0016720B">
            <w:pPr>
              <w:jc w:val="center"/>
              <w:rPr>
                <w:rFonts w:ascii="Arial" w:hAnsi="Arial" w:cs="Arial"/>
              </w:rPr>
            </w:pPr>
            <w:r>
              <w:rPr>
                <w:rFonts w:ascii="Arial" w:hAnsi="Arial" w:cs="Arial"/>
              </w:rPr>
              <w:t xml:space="preserve">2. 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16720B" w:rsidRDefault="0016720B">
            <w:pPr>
              <w:rPr>
                <w:rFonts w:ascii="Arial" w:hAnsi="Arial" w:cs="Arial"/>
              </w:rPr>
            </w:pPr>
            <w:r>
              <w:rPr>
                <w:rFonts w:ascii="Arial" w:hAnsi="Arial" w:cs="Arial"/>
              </w:rPr>
              <w:t>What date is the change effective?</w:t>
            </w:r>
          </w:p>
        </w:tc>
        <w:tc>
          <w:tcPr>
            <w:tcW w:w="8909" w:type="dxa"/>
            <w:tcBorders>
              <w:top w:val="nil"/>
              <w:left w:val="nil"/>
              <w:bottom w:val="single" w:sz="8" w:space="0" w:color="auto"/>
              <w:right w:val="single" w:sz="8" w:space="0" w:color="auto"/>
            </w:tcBorders>
            <w:tcMar>
              <w:top w:w="0" w:type="dxa"/>
              <w:left w:w="108" w:type="dxa"/>
              <w:bottom w:w="0" w:type="dxa"/>
              <w:right w:w="108" w:type="dxa"/>
            </w:tcMar>
          </w:tcPr>
          <w:p w:rsidR="0016720B" w:rsidRDefault="0016720B">
            <w:pPr>
              <w:rPr>
                <w:rFonts w:ascii="Arial" w:hAnsi="Arial" w:cs="Arial"/>
              </w:rPr>
            </w:pPr>
            <w:r>
              <w:rPr>
                <w:rFonts w:ascii="Arial" w:hAnsi="Arial" w:cs="Arial"/>
              </w:rPr>
              <w:t>March 1, 2013</w:t>
            </w:r>
          </w:p>
          <w:p w:rsidR="0016720B" w:rsidRDefault="0016720B">
            <w:pPr>
              <w:rPr>
                <w:rFonts w:ascii="Arial" w:hAnsi="Arial" w:cs="Arial"/>
              </w:rPr>
            </w:pPr>
          </w:p>
        </w:tc>
      </w:tr>
      <w:tr w:rsidR="0016720B" w:rsidTr="00C24F97">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20B" w:rsidRDefault="0016720B">
            <w:pPr>
              <w:jc w:val="center"/>
              <w:rPr>
                <w:rFonts w:ascii="Arial" w:hAnsi="Arial" w:cs="Arial"/>
              </w:rPr>
            </w:pPr>
            <w:r>
              <w:rPr>
                <w:rFonts w:ascii="Arial" w:hAnsi="Arial" w:cs="Arial"/>
              </w:rPr>
              <w:t>3.</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16720B" w:rsidRDefault="0016720B">
            <w:pPr>
              <w:rPr>
                <w:rFonts w:ascii="Arial" w:hAnsi="Arial" w:cs="Arial"/>
              </w:rPr>
            </w:pPr>
            <w:r>
              <w:rPr>
                <w:rFonts w:ascii="Arial" w:hAnsi="Arial" w:cs="Arial"/>
              </w:rPr>
              <w:t>Are MSU (Medical Support Unit) Services included with this memo?</w:t>
            </w:r>
          </w:p>
        </w:tc>
        <w:tc>
          <w:tcPr>
            <w:tcW w:w="8909" w:type="dxa"/>
            <w:tcBorders>
              <w:top w:val="nil"/>
              <w:left w:val="nil"/>
              <w:bottom w:val="single" w:sz="8" w:space="0" w:color="auto"/>
              <w:right w:val="single" w:sz="8" w:space="0" w:color="auto"/>
            </w:tcBorders>
            <w:tcMar>
              <w:top w:w="0" w:type="dxa"/>
              <w:left w:w="108" w:type="dxa"/>
              <w:bottom w:w="0" w:type="dxa"/>
              <w:right w:w="108" w:type="dxa"/>
            </w:tcMar>
          </w:tcPr>
          <w:p w:rsidR="0016720B" w:rsidRDefault="0016720B">
            <w:pPr>
              <w:rPr>
                <w:rFonts w:ascii="Arial" w:hAnsi="Arial" w:cs="Arial"/>
              </w:rPr>
            </w:pPr>
            <w:r>
              <w:rPr>
                <w:rFonts w:ascii="Arial" w:hAnsi="Arial" w:cs="Arial"/>
              </w:rPr>
              <w:t xml:space="preserve">Yes, please refer the chart of services impacted on Page 2 of the DMAS Feb. 6, 2013 Memo entitled, “Notification of a Procedural Change for Out of State Providers Submitting Requests for Service Authorization through </w:t>
            </w:r>
            <w:proofErr w:type="spellStart"/>
            <w:r>
              <w:rPr>
                <w:rFonts w:ascii="Arial" w:hAnsi="Arial" w:cs="Arial"/>
              </w:rPr>
              <w:t>KePRO</w:t>
            </w:r>
            <w:proofErr w:type="spellEnd"/>
            <w:r>
              <w:rPr>
                <w:rFonts w:ascii="Arial" w:hAnsi="Arial" w:cs="Arial"/>
              </w:rPr>
              <w:t xml:space="preserve"> — </w:t>
            </w:r>
            <w:r>
              <w:rPr>
                <w:rFonts w:ascii="Arial" w:hAnsi="Arial" w:cs="Arial"/>
                <w:i/>
                <w:iCs/>
              </w:rPr>
              <w:t>Effective March 1, 2013”</w:t>
            </w:r>
            <w:r>
              <w:rPr>
                <w:rFonts w:ascii="Arial" w:hAnsi="Arial" w:cs="Arial"/>
              </w:rPr>
              <w:t>.</w:t>
            </w:r>
          </w:p>
          <w:p w:rsidR="0016720B" w:rsidRDefault="0016720B">
            <w:pPr>
              <w:rPr>
                <w:rFonts w:ascii="Arial" w:hAnsi="Arial" w:cs="Arial"/>
              </w:rPr>
            </w:pPr>
          </w:p>
        </w:tc>
      </w:tr>
      <w:tr w:rsidR="0016720B" w:rsidTr="00C24F97">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20B" w:rsidRDefault="0016720B">
            <w:pPr>
              <w:jc w:val="center"/>
              <w:rPr>
                <w:rFonts w:ascii="Arial" w:hAnsi="Arial" w:cs="Arial"/>
              </w:rPr>
            </w:pPr>
            <w:r>
              <w:rPr>
                <w:rFonts w:ascii="Arial" w:hAnsi="Arial" w:cs="Arial"/>
              </w:rPr>
              <w:t>4.</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16720B" w:rsidRDefault="0016720B">
            <w:pPr>
              <w:rPr>
                <w:rFonts w:ascii="Arial" w:hAnsi="Arial" w:cs="Arial"/>
              </w:rPr>
            </w:pPr>
            <w:r>
              <w:rPr>
                <w:rFonts w:ascii="Arial" w:hAnsi="Arial" w:cs="Arial"/>
              </w:rPr>
              <w:t>What other services are included with this out-of-state requirement?</w:t>
            </w:r>
          </w:p>
        </w:tc>
        <w:tc>
          <w:tcPr>
            <w:tcW w:w="8909" w:type="dxa"/>
            <w:tcBorders>
              <w:top w:val="nil"/>
              <w:left w:val="nil"/>
              <w:bottom w:val="single" w:sz="8" w:space="0" w:color="auto"/>
              <w:right w:val="single" w:sz="8" w:space="0" w:color="auto"/>
            </w:tcBorders>
            <w:tcMar>
              <w:top w:w="0" w:type="dxa"/>
              <w:left w:w="108" w:type="dxa"/>
              <w:bottom w:w="0" w:type="dxa"/>
              <w:right w:w="108" w:type="dxa"/>
            </w:tcMar>
            <w:hideMark/>
          </w:tcPr>
          <w:p w:rsidR="0016720B" w:rsidRDefault="0016720B">
            <w:pPr>
              <w:rPr>
                <w:rFonts w:ascii="Arial" w:hAnsi="Arial" w:cs="Arial"/>
              </w:rPr>
            </w:pPr>
            <w:r>
              <w:rPr>
                <w:rFonts w:ascii="Arial" w:hAnsi="Arial" w:cs="Arial"/>
              </w:rPr>
              <w:t>All services impacted are included on Page 2 of the above memo.  </w:t>
            </w: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C24F97">
            <w:pPr>
              <w:jc w:val="center"/>
              <w:rPr>
                <w:rFonts w:ascii="Arial" w:hAnsi="Arial" w:cs="Arial"/>
              </w:rPr>
            </w:pPr>
            <w:r>
              <w:rPr>
                <w:rFonts w:ascii="Arial" w:hAnsi="Arial" w:cs="Arial"/>
              </w:rPr>
              <w:t>5.</w:t>
            </w: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C24F97">
            <w:pPr>
              <w:autoSpaceDE w:val="0"/>
              <w:autoSpaceDN w:val="0"/>
              <w:rPr>
                <w:rFonts w:ascii="Arial" w:hAnsi="Arial" w:cs="Arial"/>
              </w:rPr>
            </w:pPr>
            <w:r>
              <w:rPr>
                <w:rFonts w:ascii="Arial" w:hAnsi="Arial" w:cs="Arial"/>
              </w:rPr>
              <w:t xml:space="preserve">Do providers have to document evidence and submit to </w:t>
            </w:r>
            <w:proofErr w:type="spellStart"/>
            <w:r>
              <w:rPr>
                <w:rFonts w:ascii="Arial" w:hAnsi="Arial" w:cs="Arial"/>
              </w:rPr>
              <w:t>KePRO</w:t>
            </w:r>
            <w:proofErr w:type="spellEnd"/>
            <w:r>
              <w:rPr>
                <w:rFonts w:ascii="Arial" w:hAnsi="Arial" w:cs="Arial"/>
              </w:rPr>
              <w:t xml:space="preserve"> all four criteria indications on the Out-of State Provider Policy? </w:t>
            </w:r>
          </w:p>
          <w:p w:rsidR="00C24F97" w:rsidRDefault="00C24F97" w:rsidP="00C24F97">
            <w:pPr>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C24F97">
            <w:pPr>
              <w:rPr>
                <w:rFonts w:ascii="Arial" w:hAnsi="Arial" w:cs="Arial"/>
              </w:rPr>
            </w:pPr>
            <w:r>
              <w:rPr>
                <w:rFonts w:ascii="Arial" w:hAnsi="Arial" w:cs="Arial"/>
              </w:rPr>
              <w:t xml:space="preserve">No, out-of-state providers should include one of the four criteria indications when submitting requests for service authorization to </w:t>
            </w:r>
            <w:proofErr w:type="spellStart"/>
            <w:r>
              <w:rPr>
                <w:rFonts w:ascii="Arial" w:hAnsi="Arial" w:cs="Arial"/>
              </w:rPr>
              <w:t>KePRO</w:t>
            </w:r>
            <w:proofErr w:type="spellEnd"/>
            <w:r>
              <w:rPr>
                <w:rFonts w:ascii="Arial" w:hAnsi="Arial" w:cs="Arial"/>
              </w:rPr>
              <w:t xml:space="preserve">. </w:t>
            </w: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C24F97">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C24F97">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C24F97">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C24F97">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C24F97">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C24F97">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C24F97">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C24F97">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C24F97">
            <w:pPr>
              <w:rPr>
                <w:rFonts w:ascii="Arial" w:hAnsi="Arial" w:cs="Arial"/>
              </w:rPr>
            </w:pPr>
          </w:p>
        </w:tc>
      </w:tr>
      <w:tr w:rsidR="00C24F97" w:rsidTr="00A25600">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F97" w:rsidRDefault="00C24F97" w:rsidP="00C24F97">
            <w:pPr>
              <w:jc w:val="center"/>
              <w:rPr>
                <w:rFonts w:ascii="Arial" w:hAnsi="Arial" w:cs="Aria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C24F97" w:rsidRDefault="00C24F97" w:rsidP="00C24F97">
            <w:pPr>
              <w:autoSpaceDE w:val="0"/>
              <w:autoSpaceDN w:val="0"/>
              <w:rPr>
                <w:rFonts w:ascii="Arial" w:hAnsi="Arial" w:cs="Arial"/>
              </w:rPr>
            </w:pPr>
          </w:p>
        </w:tc>
        <w:tc>
          <w:tcPr>
            <w:tcW w:w="8909" w:type="dxa"/>
            <w:tcBorders>
              <w:top w:val="nil"/>
              <w:left w:val="nil"/>
              <w:bottom w:val="single" w:sz="8" w:space="0" w:color="auto"/>
              <w:right w:val="single" w:sz="8" w:space="0" w:color="auto"/>
            </w:tcBorders>
            <w:tcMar>
              <w:top w:w="0" w:type="dxa"/>
              <w:left w:w="108" w:type="dxa"/>
              <w:bottom w:w="0" w:type="dxa"/>
              <w:right w:w="108" w:type="dxa"/>
            </w:tcMar>
            <w:hideMark/>
          </w:tcPr>
          <w:p w:rsidR="00C24F97" w:rsidRDefault="00C24F97" w:rsidP="00C24F97">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r>
              <w:rPr>
                <w:rFonts w:ascii="Arial" w:hAnsi="Arial" w:cs="Arial"/>
              </w:rPr>
              <w:t>5.</w:t>
            </w: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r>
              <w:rPr>
                <w:rFonts w:ascii="Arial" w:hAnsi="Arial" w:cs="Arial"/>
              </w:rPr>
              <w:t xml:space="preserve">Do providers have to document evidence and submit to </w:t>
            </w:r>
            <w:proofErr w:type="spellStart"/>
            <w:r>
              <w:rPr>
                <w:rFonts w:ascii="Arial" w:hAnsi="Arial" w:cs="Arial"/>
              </w:rPr>
              <w:t>KePRO</w:t>
            </w:r>
            <w:proofErr w:type="spellEnd"/>
            <w:r>
              <w:rPr>
                <w:rFonts w:ascii="Arial" w:hAnsi="Arial" w:cs="Arial"/>
              </w:rPr>
              <w:t xml:space="preserve"> all four criteria indications on the Out-of State Provider Policy? </w:t>
            </w:r>
          </w:p>
          <w:p w:rsidR="00C24F97" w:rsidRDefault="00C24F97" w:rsidP="00A25600">
            <w:pPr>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r>
              <w:rPr>
                <w:rFonts w:ascii="Arial" w:hAnsi="Arial" w:cs="Arial"/>
              </w:rPr>
              <w:t xml:space="preserve">No, out-of-state providers should include one of the four criteria indications when submitting requests for service authorization to </w:t>
            </w:r>
            <w:proofErr w:type="spellStart"/>
            <w:r>
              <w:rPr>
                <w:rFonts w:ascii="Arial" w:hAnsi="Arial" w:cs="Arial"/>
              </w:rPr>
              <w:t>KePRO</w:t>
            </w:r>
            <w:proofErr w:type="spellEnd"/>
            <w:r>
              <w:rPr>
                <w:rFonts w:ascii="Arial" w:hAnsi="Arial" w:cs="Arial"/>
              </w:rPr>
              <w:t xml:space="preserve">. </w:t>
            </w: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single" w:sz="8" w:space="0" w:color="auto"/>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r>
              <w:rPr>
                <w:rFonts w:ascii="Arial" w:hAnsi="Arial" w:cs="Arial"/>
              </w:rPr>
              <w:lastRenderedPageBreak/>
              <w:t>6.</w:t>
            </w: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r>
              <w:rPr>
                <w:rFonts w:ascii="Arial" w:hAnsi="Arial" w:cs="Arial"/>
              </w:rPr>
              <w:t xml:space="preserve"> Are “border providers” included in the out of state provider requirement?</w:t>
            </w:r>
          </w:p>
          <w:p w:rsidR="00C24F97" w:rsidRDefault="00C24F97" w:rsidP="00A25600">
            <w:pPr>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r>
              <w:rPr>
                <w:rFonts w:ascii="Arial" w:hAnsi="Arial" w:cs="Arial"/>
              </w:rPr>
              <w:t xml:space="preserve"> “Border providers” are included in the out of state (OOS) provider requirement. DMAS identifies “border providers” as providers in 50 miles of the Virginia border. Out of state providers are determined by their FIPS code, not by their provider class type. Refer to the DMAS Memo dated 2/6/2013 for details and services included in the requirement.  </w:t>
            </w: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nil"/>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nil"/>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nil"/>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r w:rsidR="00C24F97" w:rsidTr="00A25600">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F97" w:rsidRDefault="00C24F97" w:rsidP="00A25600">
            <w:pPr>
              <w:jc w:val="center"/>
              <w:rPr>
                <w:rFonts w:ascii="Arial" w:hAnsi="Arial" w:cs="Aria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C24F97" w:rsidRDefault="00C24F97" w:rsidP="00A25600">
            <w:pPr>
              <w:autoSpaceDE w:val="0"/>
              <w:autoSpaceDN w:val="0"/>
              <w:rPr>
                <w:rFonts w:ascii="Arial" w:hAnsi="Arial" w:cs="Arial"/>
              </w:rPr>
            </w:pPr>
          </w:p>
        </w:tc>
        <w:tc>
          <w:tcPr>
            <w:tcW w:w="8909" w:type="dxa"/>
            <w:tcBorders>
              <w:top w:val="nil"/>
              <w:left w:val="nil"/>
              <w:bottom w:val="single" w:sz="8" w:space="0" w:color="auto"/>
              <w:right w:val="single" w:sz="8" w:space="0" w:color="auto"/>
            </w:tcBorders>
            <w:tcMar>
              <w:top w:w="0" w:type="dxa"/>
              <w:left w:w="108" w:type="dxa"/>
              <w:bottom w:w="0" w:type="dxa"/>
              <w:right w:w="108" w:type="dxa"/>
            </w:tcMar>
            <w:hideMark/>
          </w:tcPr>
          <w:p w:rsidR="00C24F97" w:rsidRDefault="00C24F97" w:rsidP="00A25600">
            <w:pPr>
              <w:rPr>
                <w:rFonts w:ascii="Arial" w:hAnsi="Arial" w:cs="Arial"/>
              </w:rPr>
            </w:pPr>
          </w:p>
        </w:tc>
      </w:tr>
    </w:tbl>
    <w:p w:rsidR="00C24F97" w:rsidRDefault="00C24F97" w:rsidP="00C24F97">
      <w:r>
        <w:br w:type="textWrapping" w:clear="all"/>
      </w:r>
    </w:p>
    <w:p w:rsidR="00C24F97" w:rsidRDefault="00C24F97" w:rsidP="00C24F97">
      <w:r>
        <w:br w:type="textWrapping" w:clear="all"/>
      </w:r>
    </w:p>
    <w:p w:rsidR="00C24F97" w:rsidRDefault="00C24F97" w:rsidP="00C24F97">
      <w:r>
        <w:br w:type="textWrapping" w:clear="all"/>
      </w:r>
    </w:p>
    <w:p w:rsidR="005D7523" w:rsidRDefault="005D7523"/>
    <w:sectPr w:rsidR="005D7523" w:rsidSect="0016720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720B"/>
    <w:rsid w:val="0016720B"/>
    <w:rsid w:val="003C4E93"/>
    <w:rsid w:val="005D7523"/>
    <w:rsid w:val="00C2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0B"/>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20B"/>
    <w:rPr>
      <w:color w:val="0000FF"/>
      <w:u w:val="single"/>
    </w:rPr>
  </w:style>
  <w:style w:type="paragraph" w:styleId="BalloonText">
    <w:name w:val="Balloon Text"/>
    <w:basedOn w:val="Normal"/>
    <w:link w:val="BalloonTextChar"/>
    <w:uiPriority w:val="99"/>
    <w:semiHidden/>
    <w:unhideWhenUsed/>
    <w:rsid w:val="00C24F97"/>
    <w:rPr>
      <w:rFonts w:ascii="Tahoma" w:hAnsi="Tahoma" w:cs="Tahoma"/>
      <w:sz w:val="16"/>
      <w:szCs w:val="16"/>
    </w:rPr>
  </w:style>
  <w:style w:type="character" w:customStyle="1" w:styleId="BalloonTextChar">
    <w:name w:val="Balloon Text Char"/>
    <w:basedOn w:val="DefaultParagraphFont"/>
    <w:link w:val="BalloonText"/>
    <w:uiPriority w:val="99"/>
    <w:semiHidden/>
    <w:rsid w:val="00C24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rginiamedicaid.dmas.virginia.gov/wps/myportal/MedicaidMemosto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tbrooks</dc:creator>
  <cp:lastModifiedBy>tbrooks</cp:lastModifiedBy>
  <cp:revision>2</cp:revision>
  <dcterms:created xsi:type="dcterms:W3CDTF">2013-03-21T14:11:00Z</dcterms:created>
  <dcterms:modified xsi:type="dcterms:W3CDTF">2013-03-21T14:11:00Z</dcterms:modified>
</cp:coreProperties>
</file>