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after="0" w:before="0" w:line="240" w:lineRule="auto"/>
        <w:rPr>
          <w:b w:val="1"/>
          <w:color w:val="003c6a"/>
          <w:sz w:val="83"/>
          <w:szCs w:val="83"/>
        </w:rPr>
      </w:pPr>
      <w:bookmarkStart w:colFirst="0" w:colLast="0" w:name="_j7k5a22ztzfy" w:id="0"/>
      <w:bookmarkEnd w:id="0"/>
      <w:r w:rsidDel="00000000" w:rsidR="00000000" w:rsidRPr="00000000">
        <w:rPr>
          <w:b w:val="1"/>
          <w:color w:val="003c6a"/>
          <w:sz w:val="83"/>
          <w:szCs w:val="83"/>
          <w:rtl w:val="0"/>
        </w:rPr>
        <w:t xml:space="preserve">zAnalytics insights transforms TPA offerings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3721100"/>
            <wp:effectExtent b="0" l="0" r="0" t="0"/>
            <wp:docPr descr="zAnalytics insights transforms TPA offerings" id="1" name="image1.jpg"/>
            <a:graphic>
              <a:graphicData uri="http://schemas.openxmlformats.org/drawingml/2006/picture">
                <pic:pic>
                  <pic:nvPicPr>
                    <pic:cNvPr descr="zAnalytics insights transforms TPA offerings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after="0" w:before="0" w:line="240" w:lineRule="auto"/>
        <w:rPr>
          <w:b w:val="1"/>
          <w:i w:val="0"/>
          <w:color w:val="003c6a"/>
          <w:sz w:val="38"/>
          <w:szCs w:val="38"/>
        </w:rPr>
      </w:pPr>
      <w:bookmarkStart w:colFirst="0" w:colLast="0" w:name="_9y9115jkofij" w:id="1"/>
      <w:bookmarkEnd w:id="1"/>
      <w:r w:rsidDel="00000000" w:rsidR="00000000" w:rsidRPr="00000000">
        <w:rPr>
          <w:b w:val="1"/>
          <w:i w:val="0"/>
          <w:color w:val="003c6a"/>
          <w:sz w:val="38"/>
          <w:szCs w:val="38"/>
          <w:rtl w:val="0"/>
        </w:rPr>
        <w:t xml:space="preserve">Problem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Bringing diverse datasets from multiple sources was challenging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Reporting lacked direction and tangible action opportunities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after="0" w:before="0" w:line="240" w:lineRule="auto"/>
        <w:rPr>
          <w:b w:val="1"/>
          <w:i w:val="0"/>
          <w:color w:val="003c6a"/>
          <w:sz w:val="38"/>
          <w:szCs w:val="38"/>
        </w:rPr>
      </w:pPr>
      <w:bookmarkStart w:colFirst="0" w:colLast="0" w:name="_8mhsd3eysru9" w:id="2"/>
      <w:bookmarkEnd w:id="2"/>
      <w:r w:rsidDel="00000000" w:rsidR="00000000" w:rsidRPr="00000000">
        <w:rPr>
          <w:b w:val="1"/>
          <w:i w:val="0"/>
          <w:color w:val="003c6a"/>
          <w:sz w:val="38"/>
          <w:szCs w:val="38"/>
          <w:rtl w:val="0"/>
        </w:rPr>
        <w:t xml:space="preserve">Solution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Visual dashboard tells a compelling story about where to focus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Reporting includes decision-support for opportunities and action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857500" cy="26416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64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7" w:sz="0" w:val="none"/>
          <w:right w:color="auto" w:space="0" w:sz="0" w:val="none"/>
        </w:pBdr>
        <w:shd w:fill="ffffff" w:val="clear"/>
        <w:spacing w:after="0" w:before="0" w:line="240" w:lineRule="auto"/>
        <w:rPr>
          <w:b w:val="1"/>
          <w:i w:val="0"/>
          <w:color w:val="003c6a"/>
          <w:sz w:val="38"/>
          <w:szCs w:val="38"/>
        </w:rPr>
      </w:pPr>
      <w:bookmarkStart w:colFirst="0" w:colLast="0" w:name="_7xq23pislvr0" w:id="3"/>
      <w:bookmarkEnd w:id="3"/>
      <w:r w:rsidDel="00000000" w:rsidR="00000000" w:rsidRPr="00000000">
        <w:rPr>
          <w:b w:val="1"/>
          <w:i w:val="0"/>
          <w:color w:val="003c6a"/>
          <w:sz w:val="38"/>
          <w:szCs w:val="38"/>
          <w:rtl w:val="0"/>
        </w:rPr>
        <w:t xml:space="preserve">Impact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Client retention and growth achieved through specific, data-driven policy and program optimization: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Leverage our visual and actionable dashboard to support benefit consultants and employers to identify 10-15% worth of cost containment, empowering their account execs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Support care management by bringing predictive risks and all member level financial, utilization, condition risk and response data in one place. By identifying 25% more high risk members, and reducing the call time by 15 minutes, they are able to deliver better risk and cost containment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Our member centric recommendation, notification and communication tool is helping employers, benefit consultants and the TPA to turn insights into member actions that are tracked. Eg., for one employer, 67% of identified members closed one or more gaps in care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9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AI Chat bot has the potential to reduce 50% – 70% of the calls to the TPA, generating immediate value and improved member experience and opportunity to re-direct members pro-actively to better places of care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